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3FB973" w14:textId="77777777" w:rsidR="007054F5" w:rsidRPr="005B50B7" w:rsidRDefault="007054F5" w:rsidP="007054F5">
      <w:pPr>
        <w:rPr>
          <w:b/>
          <w:color w:val="2E74B5" w:themeColor="accent1" w:themeShade="BF"/>
          <w:sz w:val="28"/>
          <w:szCs w:val="28"/>
        </w:rPr>
      </w:pPr>
      <w:r w:rsidRPr="005B50B7">
        <w:rPr>
          <w:b/>
          <w:color w:val="2E74B5" w:themeColor="accent1" w:themeShade="BF"/>
          <w:sz w:val="28"/>
          <w:szCs w:val="28"/>
        </w:rPr>
        <w:t xml:space="preserve">Merkblatt des </w:t>
      </w:r>
      <w:r w:rsidR="005B50B7" w:rsidRPr="005B50B7">
        <w:rPr>
          <w:b/>
          <w:color w:val="2E74B5" w:themeColor="accent1" w:themeShade="BF"/>
          <w:sz w:val="28"/>
          <w:szCs w:val="28"/>
        </w:rPr>
        <w:t xml:space="preserve">behördlichen </w:t>
      </w:r>
      <w:r w:rsidRPr="005B50B7">
        <w:rPr>
          <w:b/>
          <w:color w:val="2E74B5" w:themeColor="accent1" w:themeShade="BF"/>
          <w:sz w:val="28"/>
          <w:szCs w:val="28"/>
        </w:rPr>
        <w:t xml:space="preserve">Datenschutzbeauftragten </w:t>
      </w:r>
    </w:p>
    <w:p w14:paraId="44BA5183" w14:textId="77777777" w:rsidR="005B50B7" w:rsidRDefault="00CF4593" w:rsidP="007054F5">
      <w:pPr>
        <w:rPr>
          <w:b/>
        </w:rPr>
      </w:pPr>
      <w:r w:rsidRPr="00CF4593">
        <w:rPr>
          <w:b/>
        </w:rPr>
        <w:t>Hinweise zur Rechtslage und Empfehlung</w:t>
      </w:r>
      <w:r w:rsidR="00BA3E2B">
        <w:rPr>
          <w:b/>
        </w:rPr>
        <w:t>en</w:t>
      </w:r>
      <w:r w:rsidRPr="00CF4593">
        <w:rPr>
          <w:b/>
        </w:rPr>
        <w:t xml:space="preserve"> zur Veröffentlichung von </w:t>
      </w:r>
      <w:r w:rsidR="007054F5" w:rsidRPr="00CF4593">
        <w:rPr>
          <w:b/>
        </w:rPr>
        <w:t>Foto-</w:t>
      </w:r>
      <w:r w:rsidR="00F029D3">
        <w:rPr>
          <w:b/>
        </w:rPr>
        <w:t xml:space="preserve"> </w:t>
      </w:r>
      <w:r w:rsidR="007054F5" w:rsidRPr="00CF4593">
        <w:rPr>
          <w:b/>
        </w:rPr>
        <w:t>und Videoaufnahmen</w:t>
      </w:r>
      <w:r w:rsidR="002735B9">
        <w:rPr>
          <w:b/>
        </w:rPr>
        <w:t xml:space="preserve"> </w:t>
      </w:r>
      <w:r w:rsidR="005B50B7">
        <w:rPr>
          <w:b/>
        </w:rPr>
        <w:t>im Rahmen Öffentlichkeitsarbeit und Hochschulmarketing</w:t>
      </w:r>
    </w:p>
    <w:p w14:paraId="3AD5D52C" w14:textId="75AD1ECD" w:rsidR="007054F5" w:rsidRPr="005B50B7" w:rsidRDefault="004278CC" w:rsidP="007054F5">
      <w:pPr>
        <w:rPr>
          <w:sz w:val="16"/>
          <w:szCs w:val="16"/>
        </w:rPr>
      </w:pPr>
      <w:r>
        <w:rPr>
          <w:sz w:val="16"/>
          <w:szCs w:val="16"/>
        </w:rPr>
        <w:t xml:space="preserve">(Stand </w:t>
      </w:r>
      <w:r w:rsidR="00C97476">
        <w:rPr>
          <w:sz w:val="16"/>
          <w:szCs w:val="16"/>
        </w:rPr>
        <w:t>09</w:t>
      </w:r>
      <w:r w:rsidR="005B50B7" w:rsidRPr="005B50B7">
        <w:rPr>
          <w:sz w:val="16"/>
          <w:szCs w:val="16"/>
        </w:rPr>
        <w:t>/</w:t>
      </w:r>
      <w:r w:rsidR="00C97476">
        <w:rPr>
          <w:sz w:val="16"/>
          <w:szCs w:val="16"/>
        </w:rPr>
        <w:t>2024</w:t>
      </w:r>
      <w:r w:rsidR="005B50B7" w:rsidRPr="005B50B7">
        <w:rPr>
          <w:sz w:val="16"/>
          <w:szCs w:val="16"/>
        </w:rPr>
        <w:t>)</w:t>
      </w:r>
      <w:r w:rsidR="007054F5" w:rsidRPr="005B50B7">
        <w:rPr>
          <w:sz w:val="16"/>
          <w:szCs w:val="16"/>
        </w:rPr>
        <w:tab/>
      </w:r>
    </w:p>
    <w:p w14:paraId="086C4D15" w14:textId="77777777" w:rsidR="007A26A2" w:rsidRDefault="00CC70E5" w:rsidP="007A26A2">
      <w:r w:rsidRPr="00CC70E5">
        <w:t xml:space="preserve">Den Datenschutzbeauftragten </w:t>
      </w:r>
      <w:r w:rsidR="007054F5">
        <w:t xml:space="preserve">erreichen </w:t>
      </w:r>
      <w:r w:rsidR="00763091">
        <w:t xml:space="preserve">regelmäßig </w:t>
      </w:r>
      <w:r w:rsidR="007054F5">
        <w:t>Anfragen zu</w:t>
      </w:r>
      <w:r w:rsidR="002735B9">
        <w:t>r</w:t>
      </w:r>
      <w:r w:rsidR="00763091">
        <w:t xml:space="preserve"> Situation des Datenschutzes bei der</w:t>
      </w:r>
      <w:r w:rsidR="00CF4593">
        <w:t xml:space="preserve"> Veröffentlichung </w:t>
      </w:r>
      <w:r w:rsidR="007054F5">
        <w:t xml:space="preserve">von Foto- und Videoaufnahmen an der </w:t>
      </w:r>
      <w:r w:rsidR="00CF4593">
        <w:t>HWR Berlin</w:t>
      </w:r>
      <w:r w:rsidR="007054F5">
        <w:t xml:space="preserve">. </w:t>
      </w:r>
      <w:r w:rsidR="00CF4593" w:rsidRPr="00CF4593">
        <w:t>Diese Über</w:t>
      </w:r>
      <w:r w:rsidR="00CF4593">
        <w:t xml:space="preserve">sicht stellt Grundsätze </w:t>
      </w:r>
      <w:r w:rsidR="007054F5">
        <w:t xml:space="preserve">zur Zulässigkeit und zu Gestaltungsmöglichkeiten </w:t>
      </w:r>
      <w:r w:rsidR="00F029D3">
        <w:t>auf</w:t>
      </w:r>
      <w:r w:rsidR="007054F5">
        <w:t xml:space="preserve">. </w:t>
      </w:r>
      <w:r w:rsidR="00734188">
        <w:t>Sie</w:t>
      </w:r>
      <w:r w:rsidR="007054F5">
        <w:t xml:space="preserve"> kann </w:t>
      </w:r>
      <w:r w:rsidR="007054F5" w:rsidRPr="00F029D3">
        <w:rPr>
          <w:b/>
        </w:rPr>
        <w:t xml:space="preserve">jedoch keine eingehende rechtliche Prüfung </w:t>
      </w:r>
      <w:r w:rsidR="009771B3">
        <w:rPr>
          <w:b/>
        </w:rPr>
        <w:t xml:space="preserve">des Einzelfalles </w:t>
      </w:r>
      <w:r w:rsidR="007054F5" w:rsidRPr="00F029D3">
        <w:rPr>
          <w:b/>
        </w:rPr>
        <w:t>ersetzen</w:t>
      </w:r>
      <w:r w:rsidR="009771B3">
        <w:t xml:space="preserve">. </w:t>
      </w:r>
      <w:r w:rsidR="008017C0">
        <w:t>Im Zweifelsfall</w:t>
      </w:r>
      <w:r w:rsidR="00734188">
        <w:t xml:space="preserve"> </w:t>
      </w:r>
      <w:r w:rsidR="007054F5">
        <w:t>könne</w:t>
      </w:r>
      <w:r w:rsidR="00734188">
        <w:t>n Sie sich mit konkreten F</w:t>
      </w:r>
      <w:r w:rsidR="007054F5">
        <w:t xml:space="preserve">ragen gern an </w:t>
      </w:r>
      <w:r w:rsidR="00F029D3">
        <w:t>den Datenschutzbeauftragten</w:t>
      </w:r>
      <w:r w:rsidR="007054F5">
        <w:t xml:space="preserve"> wenden. </w:t>
      </w:r>
      <w:r w:rsidR="00303181">
        <w:t>S</w:t>
      </w:r>
      <w:r w:rsidR="00303181" w:rsidRPr="00303181">
        <w:t xml:space="preserve">orgfalt und Transparenz in </w:t>
      </w:r>
      <w:r w:rsidR="00763091">
        <w:t>Sachen</w:t>
      </w:r>
      <w:r w:rsidR="00303181">
        <w:t xml:space="preserve"> </w:t>
      </w:r>
      <w:r w:rsidR="00303181" w:rsidRPr="00303181">
        <w:t xml:space="preserve">des Datenschutzes sind </w:t>
      </w:r>
      <w:r w:rsidR="009771B3">
        <w:t xml:space="preserve">in jedem Fall </w:t>
      </w:r>
      <w:r w:rsidR="00303181" w:rsidRPr="00303181">
        <w:t>geboten und zahlen sich langfristig aus</w:t>
      </w:r>
      <w:r w:rsidR="00D0260B">
        <w:t xml:space="preserve">, da </w:t>
      </w:r>
      <w:r w:rsidR="00303181">
        <w:t xml:space="preserve">Rechtsverstöße vermieden werden. </w:t>
      </w:r>
    </w:p>
    <w:p w14:paraId="4FC2F357" w14:textId="21F7B717" w:rsidR="007054F5" w:rsidRPr="007A26A2" w:rsidRDefault="007054F5" w:rsidP="007A26A2">
      <w:pPr>
        <w:pStyle w:val="Listenabsatz"/>
        <w:numPr>
          <w:ilvl w:val="0"/>
          <w:numId w:val="15"/>
        </w:numPr>
        <w:rPr>
          <w:b/>
        </w:rPr>
      </w:pPr>
      <w:r w:rsidRPr="007A26A2">
        <w:rPr>
          <w:b/>
        </w:rPr>
        <w:t xml:space="preserve">Grundsätzliches </w:t>
      </w:r>
    </w:p>
    <w:p w14:paraId="04FE31A4" w14:textId="77777777" w:rsidR="007054F5" w:rsidRDefault="007054F5" w:rsidP="007054F5">
      <w:r>
        <w:t>Bei Fotografien und Videoaufnahmen</w:t>
      </w:r>
      <w:r w:rsidR="00C038BA">
        <w:t xml:space="preserve"> (künftig Bildaufnahmen genannt)</w:t>
      </w:r>
      <w:r>
        <w:t xml:space="preserve"> handelt es sich um die Verarbeitung personenbezogener Daten, soweit darauf Personen identifizierbar sind</w:t>
      </w:r>
      <w:r w:rsidR="00F029D3">
        <w:t xml:space="preserve">. </w:t>
      </w:r>
      <w:r>
        <w:t>Eine Person kann</w:t>
      </w:r>
      <w:r w:rsidR="00A753A0">
        <w:t xml:space="preserve"> sowohl</w:t>
      </w:r>
      <w:r>
        <w:t xml:space="preserve"> </w:t>
      </w:r>
      <w:r w:rsidR="0033635C">
        <w:t xml:space="preserve">direkt </w:t>
      </w:r>
      <w:r w:rsidR="00651BA7">
        <w:t>als</w:t>
      </w:r>
      <w:r w:rsidR="0033635C">
        <w:t xml:space="preserve"> </w:t>
      </w:r>
      <w:r w:rsidR="00574A41">
        <w:t xml:space="preserve">auch </w:t>
      </w:r>
      <w:r w:rsidR="00A753A0">
        <w:t xml:space="preserve">indirekt identifiziert werden. Eine Person ist indirekt identifizierbar, </w:t>
      </w:r>
      <w:r>
        <w:t xml:space="preserve">wenn </w:t>
      </w:r>
      <w:r w:rsidR="00603A2A">
        <w:t>z.B. deren</w:t>
      </w:r>
      <w:r>
        <w:t xml:space="preserve"> Gesicht nicht </w:t>
      </w:r>
      <w:r w:rsidR="00DB3B19">
        <w:t xml:space="preserve">eindeutig </w:t>
      </w:r>
      <w:r>
        <w:t>erkennbar ist</w:t>
      </w:r>
      <w:r w:rsidR="00603A2A">
        <w:t xml:space="preserve">, jedoch </w:t>
      </w:r>
      <w:r w:rsidR="00574A41">
        <w:t xml:space="preserve">durch </w:t>
      </w:r>
      <w:r w:rsidR="00DB3B19">
        <w:t>besondere k</w:t>
      </w:r>
      <w:r w:rsidR="00574A41" w:rsidRPr="00574A41">
        <w:t>örperliche Merkmale, Körperhaltung, Kleidung, Frisur, mitgeführte Gegenstände, Stimme, Inhalte von Gesprächen</w:t>
      </w:r>
      <w:r w:rsidR="00574A41">
        <w:t xml:space="preserve"> sowie </w:t>
      </w:r>
      <w:r w:rsidR="00574A41" w:rsidRPr="00574A41">
        <w:t>Zeitpunkt und Ort</w:t>
      </w:r>
      <w:r w:rsidR="00574A41">
        <w:t xml:space="preserve"> der Aufnahme</w:t>
      </w:r>
      <w:r w:rsidR="00603A2A">
        <w:t xml:space="preserve"> der Personenbezug dennoch hergestellt werden kann</w:t>
      </w:r>
      <w:r>
        <w:t xml:space="preserve">. </w:t>
      </w:r>
    </w:p>
    <w:p w14:paraId="26C31CAC" w14:textId="77777777" w:rsidR="00583ACA" w:rsidRDefault="00583ACA" w:rsidP="00583ACA">
      <w:r>
        <w:t>Ebenfalls zu berücksichtigen ist die Intensität des Grundrechtseingriffs. Hierbei kann wie folgend kategorisiert werden:</w:t>
      </w:r>
    </w:p>
    <w:tbl>
      <w:tblPr>
        <w:tblStyle w:val="Tabellenraster"/>
        <w:tblW w:w="8930" w:type="dxa"/>
        <w:tblInd w:w="704" w:type="dxa"/>
        <w:tblLook w:val="04A0" w:firstRow="1" w:lastRow="0" w:firstColumn="1" w:lastColumn="0" w:noHBand="0" w:noVBand="1"/>
      </w:tblPr>
      <w:tblGrid>
        <w:gridCol w:w="1543"/>
        <w:gridCol w:w="3277"/>
        <w:gridCol w:w="1860"/>
        <w:gridCol w:w="2250"/>
      </w:tblGrid>
      <w:tr w:rsidR="00BC424A" w14:paraId="3823DC35" w14:textId="77777777" w:rsidTr="004F77C2">
        <w:tc>
          <w:tcPr>
            <w:tcW w:w="1543" w:type="dxa"/>
            <w:shd w:val="clear" w:color="auto" w:fill="E7E6E6" w:themeFill="background2"/>
          </w:tcPr>
          <w:p w14:paraId="262FBFE3" w14:textId="77777777" w:rsidR="00BC424A" w:rsidRPr="00D75B35" w:rsidRDefault="007704F8" w:rsidP="00583ACA">
            <w:pPr>
              <w:ind w:left="0"/>
              <w:rPr>
                <w:b/>
                <w:sz w:val="16"/>
                <w:szCs w:val="16"/>
              </w:rPr>
            </w:pPr>
            <w:r w:rsidRPr="00D75B35">
              <w:rPr>
                <w:b/>
                <w:sz w:val="16"/>
                <w:szCs w:val="16"/>
              </w:rPr>
              <w:t>Art des Grundrechtseingriffs</w:t>
            </w:r>
          </w:p>
        </w:tc>
        <w:tc>
          <w:tcPr>
            <w:tcW w:w="3277" w:type="dxa"/>
            <w:shd w:val="clear" w:color="auto" w:fill="E7E6E6" w:themeFill="background2"/>
          </w:tcPr>
          <w:p w14:paraId="10E1334C" w14:textId="77777777" w:rsidR="00BC424A" w:rsidRPr="00D75B35" w:rsidRDefault="007704F8" w:rsidP="00583ACA">
            <w:pPr>
              <w:ind w:left="0"/>
              <w:rPr>
                <w:b/>
                <w:sz w:val="16"/>
                <w:szCs w:val="16"/>
              </w:rPr>
            </w:pPr>
            <w:r w:rsidRPr="00D75B35">
              <w:rPr>
                <w:b/>
                <w:sz w:val="16"/>
                <w:szCs w:val="16"/>
              </w:rPr>
              <w:t>Definition</w:t>
            </w:r>
          </w:p>
        </w:tc>
        <w:tc>
          <w:tcPr>
            <w:tcW w:w="1860" w:type="dxa"/>
            <w:shd w:val="clear" w:color="auto" w:fill="E7E6E6" w:themeFill="background2"/>
          </w:tcPr>
          <w:p w14:paraId="2A799731" w14:textId="77777777" w:rsidR="00BC424A" w:rsidRPr="00D75B35" w:rsidRDefault="007704F8" w:rsidP="00583ACA">
            <w:pPr>
              <w:ind w:left="0"/>
              <w:rPr>
                <w:b/>
                <w:sz w:val="16"/>
                <w:szCs w:val="16"/>
              </w:rPr>
            </w:pPr>
            <w:r w:rsidRPr="00D75B35">
              <w:rPr>
                <w:b/>
                <w:sz w:val="16"/>
                <w:szCs w:val="16"/>
              </w:rPr>
              <w:t>Identifizierbarkeit</w:t>
            </w:r>
          </w:p>
        </w:tc>
        <w:tc>
          <w:tcPr>
            <w:tcW w:w="2250" w:type="dxa"/>
            <w:shd w:val="clear" w:color="auto" w:fill="E7E6E6" w:themeFill="background2"/>
          </w:tcPr>
          <w:p w14:paraId="15AA0F91" w14:textId="77777777" w:rsidR="00BC424A" w:rsidRPr="00D75B35" w:rsidRDefault="007704F8" w:rsidP="000566FC">
            <w:pPr>
              <w:ind w:left="0"/>
              <w:rPr>
                <w:b/>
                <w:sz w:val="16"/>
                <w:szCs w:val="16"/>
              </w:rPr>
            </w:pPr>
            <w:r w:rsidRPr="00D75B35">
              <w:rPr>
                <w:b/>
                <w:sz w:val="16"/>
                <w:szCs w:val="16"/>
              </w:rPr>
              <w:t xml:space="preserve">Rechtsgrundlage zur </w:t>
            </w:r>
            <w:r w:rsidR="000566FC">
              <w:rPr>
                <w:b/>
                <w:sz w:val="16"/>
                <w:szCs w:val="16"/>
              </w:rPr>
              <w:t>Veröffentlichung</w:t>
            </w:r>
          </w:p>
        </w:tc>
      </w:tr>
      <w:tr w:rsidR="00BC424A" w14:paraId="7510CA48" w14:textId="77777777" w:rsidTr="004F77C2">
        <w:tc>
          <w:tcPr>
            <w:tcW w:w="1543" w:type="dxa"/>
            <w:shd w:val="clear" w:color="auto" w:fill="F4B083" w:themeFill="accent2" w:themeFillTint="99"/>
          </w:tcPr>
          <w:p w14:paraId="52C3AF60" w14:textId="77777777" w:rsidR="00BC424A" w:rsidRPr="007704F8" w:rsidRDefault="00BC424A" w:rsidP="00583ACA">
            <w:pPr>
              <w:ind w:left="0"/>
              <w:rPr>
                <w:sz w:val="16"/>
                <w:szCs w:val="16"/>
              </w:rPr>
            </w:pPr>
            <w:r w:rsidRPr="007704F8">
              <w:rPr>
                <w:sz w:val="16"/>
                <w:szCs w:val="16"/>
              </w:rPr>
              <w:t>Hoher Grundrechtseingriff</w:t>
            </w:r>
          </w:p>
        </w:tc>
        <w:tc>
          <w:tcPr>
            <w:tcW w:w="3277" w:type="dxa"/>
            <w:shd w:val="clear" w:color="auto" w:fill="F4B083" w:themeFill="accent2" w:themeFillTint="99"/>
          </w:tcPr>
          <w:p w14:paraId="382BD2B6" w14:textId="77777777" w:rsidR="00BC424A" w:rsidRPr="007704F8" w:rsidRDefault="00BC424A" w:rsidP="00583ACA">
            <w:pPr>
              <w:ind w:left="0"/>
              <w:rPr>
                <w:sz w:val="16"/>
                <w:szCs w:val="16"/>
              </w:rPr>
            </w:pPr>
            <w:r w:rsidRPr="007704F8">
              <w:rPr>
                <w:sz w:val="16"/>
                <w:szCs w:val="16"/>
              </w:rPr>
              <w:t>Nahaufnahme und Totale</w:t>
            </w:r>
          </w:p>
        </w:tc>
        <w:tc>
          <w:tcPr>
            <w:tcW w:w="1860" w:type="dxa"/>
            <w:shd w:val="clear" w:color="auto" w:fill="F4B083" w:themeFill="accent2" w:themeFillTint="99"/>
          </w:tcPr>
          <w:p w14:paraId="043F6BFC" w14:textId="55C94B8E" w:rsidR="00BC424A" w:rsidRPr="007704F8" w:rsidRDefault="007704F8" w:rsidP="008B3004">
            <w:pPr>
              <w:ind w:left="0"/>
              <w:rPr>
                <w:sz w:val="16"/>
                <w:szCs w:val="16"/>
              </w:rPr>
            </w:pPr>
            <w:r w:rsidRPr="007704F8">
              <w:rPr>
                <w:sz w:val="16"/>
                <w:szCs w:val="16"/>
              </w:rPr>
              <w:t>Person ist identifizierbar</w:t>
            </w:r>
          </w:p>
        </w:tc>
        <w:tc>
          <w:tcPr>
            <w:tcW w:w="2250" w:type="dxa"/>
            <w:shd w:val="clear" w:color="auto" w:fill="F4B083" w:themeFill="accent2" w:themeFillTint="99"/>
          </w:tcPr>
          <w:p w14:paraId="101E4A30" w14:textId="77777777" w:rsidR="00BC424A" w:rsidRPr="007704F8" w:rsidRDefault="007704F8" w:rsidP="00583ACA">
            <w:pPr>
              <w:ind w:left="0"/>
              <w:rPr>
                <w:sz w:val="16"/>
                <w:szCs w:val="16"/>
              </w:rPr>
            </w:pPr>
            <w:r w:rsidRPr="007704F8">
              <w:rPr>
                <w:sz w:val="16"/>
                <w:szCs w:val="16"/>
              </w:rPr>
              <w:t>benötigt</w:t>
            </w:r>
          </w:p>
        </w:tc>
      </w:tr>
      <w:tr w:rsidR="00BC424A" w14:paraId="6A4FC65E" w14:textId="77777777" w:rsidTr="004F77C2">
        <w:tc>
          <w:tcPr>
            <w:tcW w:w="1543" w:type="dxa"/>
            <w:shd w:val="clear" w:color="auto" w:fill="FBE4D5" w:themeFill="accent2" w:themeFillTint="33"/>
          </w:tcPr>
          <w:p w14:paraId="202D2ADD" w14:textId="77777777" w:rsidR="00BC424A" w:rsidRPr="007704F8" w:rsidRDefault="00BC424A" w:rsidP="00583ACA">
            <w:pPr>
              <w:ind w:left="0"/>
              <w:rPr>
                <w:sz w:val="16"/>
                <w:szCs w:val="16"/>
              </w:rPr>
            </w:pPr>
            <w:r w:rsidRPr="007704F8">
              <w:rPr>
                <w:sz w:val="16"/>
                <w:szCs w:val="16"/>
              </w:rPr>
              <w:t>Mittlerer Grundrechtseingriff</w:t>
            </w:r>
          </w:p>
        </w:tc>
        <w:tc>
          <w:tcPr>
            <w:tcW w:w="3277" w:type="dxa"/>
            <w:shd w:val="clear" w:color="auto" w:fill="FBE4D5" w:themeFill="accent2" w:themeFillTint="33"/>
          </w:tcPr>
          <w:p w14:paraId="7FD219C0" w14:textId="2D58F4F0" w:rsidR="00BC424A" w:rsidRPr="007704F8" w:rsidRDefault="002B0F82" w:rsidP="008F2B21">
            <w:pPr>
              <w:ind w:left="0"/>
              <w:rPr>
                <w:sz w:val="16"/>
                <w:szCs w:val="16"/>
              </w:rPr>
            </w:pPr>
            <w:r w:rsidRPr="007704F8">
              <w:rPr>
                <w:sz w:val="16"/>
                <w:szCs w:val="16"/>
              </w:rPr>
              <w:t>Person ist im Nahbereich der Aufnahme lediglich Beiwerk zur Örtlichkeit</w:t>
            </w:r>
            <w:r w:rsidR="00BC424A" w:rsidRPr="007704F8">
              <w:rPr>
                <w:sz w:val="16"/>
                <w:szCs w:val="16"/>
              </w:rPr>
              <w:t>, jedoch voll erkennbar</w:t>
            </w:r>
            <w:r w:rsidR="008F2B21">
              <w:rPr>
                <w:sz w:val="16"/>
                <w:szCs w:val="16"/>
              </w:rPr>
              <w:t>.</w:t>
            </w:r>
          </w:p>
        </w:tc>
        <w:tc>
          <w:tcPr>
            <w:tcW w:w="1860" w:type="dxa"/>
            <w:shd w:val="clear" w:color="auto" w:fill="FBE4D5" w:themeFill="accent2" w:themeFillTint="33"/>
          </w:tcPr>
          <w:p w14:paraId="3A32E72B" w14:textId="56BE18C6" w:rsidR="00BC424A" w:rsidRPr="007704F8" w:rsidRDefault="007704F8" w:rsidP="008B3004">
            <w:pPr>
              <w:ind w:left="0"/>
              <w:rPr>
                <w:sz w:val="16"/>
                <w:szCs w:val="16"/>
              </w:rPr>
            </w:pPr>
            <w:r w:rsidRPr="007704F8">
              <w:rPr>
                <w:sz w:val="16"/>
                <w:szCs w:val="16"/>
              </w:rPr>
              <w:t>Person ist identifizierbar</w:t>
            </w:r>
          </w:p>
        </w:tc>
        <w:tc>
          <w:tcPr>
            <w:tcW w:w="2250" w:type="dxa"/>
            <w:shd w:val="clear" w:color="auto" w:fill="FBE4D5" w:themeFill="accent2" w:themeFillTint="33"/>
          </w:tcPr>
          <w:p w14:paraId="4DDB1F62" w14:textId="77777777" w:rsidR="00BC424A" w:rsidRPr="007704F8" w:rsidRDefault="007704F8" w:rsidP="00583ACA">
            <w:pPr>
              <w:ind w:left="0"/>
              <w:rPr>
                <w:sz w:val="16"/>
                <w:szCs w:val="16"/>
              </w:rPr>
            </w:pPr>
            <w:r w:rsidRPr="007704F8">
              <w:rPr>
                <w:sz w:val="16"/>
                <w:szCs w:val="16"/>
              </w:rPr>
              <w:t>benötigt</w:t>
            </w:r>
          </w:p>
        </w:tc>
      </w:tr>
      <w:tr w:rsidR="00CC70E5" w14:paraId="20D20A33" w14:textId="77777777" w:rsidTr="004F77C2">
        <w:tc>
          <w:tcPr>
            <w:tcW w:w="1543" w:type="dxa"/>
            <w:shd w:val="clear" w:color="auto" w:fill="FCFCD4"/>
          </w:tcPr>
          <w:p w14:paraId="117A0734" w14:textId="77777777" w:rsidR="00CC70E5" w:rsidRPr="007704F8" w:rsidRDefault="00CC70E5" w:rsidP="00CC70E5">
            <w:pPr>
              <w:ind w:left="0"/>
              <w:rPr>
                <w:sz w:val="16"/>
                <w:szCs w:val="16"/>
              </w:rPr>
            </w:pPr>
            <w:r w:rsidRPr="007704F8">
              <w:rPr>
                <w:sz w:val="16"/>
                <w:szCs w:val="16"/>
              </w:rPr>
              <w:t>Niedriger Grundrechtseingriff</w:t>
            </w:r>
          </w:p>
        </w:tc>
        <w:tc>
          <w:tcPr>
            <w:tcW w:w="3277" w:type="dxa"/>
            <w:shd w:val="clear" w:color="auto" w:fill="FCFCD4"/>
          </w:tcPr>
          <w:p w14:paraId="1172FD75" w14:textId="13B0AF92" w:rsidR="00CC70E5" w:rsidRPr="007704F8" w:rsidRDefault="00CC70E5" w:rsidP="00CC70E5">
            <w:pPr>
              <w:ind w:left="0"/>
              <w:rPr>
                <w:sz w:val="16"/>
                <w:szCs w:val="16"/>
              </w:rPr>
            </w:pPr>
            <w:r w:rsidRPr="007704F8">
              <w:rPr>
                <w:sz w:val="16"/>
                <w:szCs w:val="16"/>
              </w:rPr>
              <w:t xml:space="preserve">Person ist im Nahbereich der Aufnahme lediglich Beiwerk zur Örtlichkeit </w:t>
            </w:r>
            <w:r w:rsidRPr="007704F8">
              <w:rPr>
                <w:b/>
                <w:sz w:val="16"/>
                <w:szCs w:val="16"/>
              </w:rPr>
              <w:t>und</w:t>
            </w:r>
            <w:r>
              <w:rPr>
                <w:sz w:val="16"/>
                <w:szCs w:val="16"/>
              </w:rPr>
              <w:t xml:space="preserve"> z.B. </w:t>
            </w:r>
            <w:r w:rsidR="00C8771F">
              <w:rPr>
                <w:sz w:val="16"/>
                <w:szCs w:val="16"/>
              </w:rPr>
              <w:t xml:space="preserve">nur </w:t>
            </w:r>
            <w:r>
              <w:rPr>
                <w:sz w:val="16"/>
                <w:szCs w:val="16"/>
              </w:rPr>
              <w:t xml:space="preserve">von der Seite oder </w:t>
            </w:r>
            <w:r w:rsidRPr="007704F8">
              <w:rPr>
                <w:sz w:val="16"/>
                <w:szCs w:val="16"/>
              </w:rPr>
              <w:t>verschwommen</w:t>
            </w:r>
            <w:r>
              <w:rPr>
                <w:sz w:val="16"/>
                <w:szCs w:val="16"/>
              </w:rPr>
              <w:t xml:space="preserve"> zu sehen. </w:t>
            </w:r>
            <w:r w:rsidRPr="008E2252">
              <w:rPr>
                <w:sz w:val="16"/>
                <w:szCs w:val="16"/>
              </w:rPr>
              <w:t>Der</w:t>
            </w:r>
            <w:r>
              <w:rPr>
                <w:sz w:val="16"/>
                <w:szCs w:val="16"/>
              </w:rPr>
              <w:t xml:space="preserve"> Aufwand zur Identifizierung</w:t>
            </w:r>
            <w:r w:rsidRPr="008E2252">
              <w:rPr>
                <w:sz w:val="16"/>
                <w:szCs w:val="16"/>
              </w:rPr>
              <w:t xml:space="preserve"> ist vergleichsweise </w:t>
            </w:r>
            <w:r>
              <w:rPr>
                <w:sz w:val="16"/>
                <w:szCs w:val="16"/>
              </w:rPr>
              <w:t>hoch</w:t>
            </w:r>
            <w:r w:rsidRPr="008E2252">
              <w:rPr>
                <w:sz w:val="16"/>
                <w:szCs w:val="16"/>
              </w:rPr>
              <w:t>.</w:t>
            </w:r>
          </w:p>
        </w:tc>
        <w:tc>
          <w:tcPr>
            <w:tcW w:w="1860" w:type="dxa"/>
            <w:shd w:val="clear" w:color="auto" w:fill="FCFCD4"/>
          </w:tcPr>
          <w:p w14:paraId="03722163" w14:textId="39C3ED8A" w:rsidR="00CC70E5" w:rsidRPr="007704F8" w:rsidRDefault="00CC70E5" w:rsidP="00CC70E5">
            <w:pPr>
              <w:ind w:left="0"/>
              <w:rPr>
                <w:sz w:val="16"/>
                <w:szCs w:val="16"/>
              </w:rPr>
            </w:pPr>
            <w:r w:rsidRPr="007704F8">
              <w:rPr>
                <w:sz w:val="16"/>
                <w:szCs w:val="16"/>
              </w:rPr>
              <w:t>Person ist nicht identifizierbar</w:t>
            </w:r>
          </w:p>
        </w:tc>
        <w:tc>
          <w:tcPr>
            <w:tcW w:w="2250" w:type="dxa"/>
            <w:shd w:val="clear" w:color="auto" w:fill="FCFCD4"/>
          </w:tcPr>
          <w:p w14:paraId="4C778910" w14:textId="6CF5EE03" w:rsidR="00CC70E5" w:rsidRPr="007704F8" w:rsidRDefault="00CC70E5" w:rsidP="00CC70E5">
            <w:pPr>
              <w:ind w:left="0"/>
              <w:rPr>
                <w:sz w:val="16"/>
                <w:szCs w:val="16"/>
              </w:rPr>
            </w:pPr>
            <w:r w:rsidRPr="007704F8">
              <w:rPr>
                <w:sz w:val="16"/>
                <w:szCs w:val="16"/>
              </w:rPr>
              <w:t>Nicht benötigt</w:t>
            </w:r>
            <w:r>
              <w:rPr>
                <w:sz w:val="16"/>
                <w:szCs w:val="16"/>
              </w:rPr>
              <w:t xml:space="preserve"> / Kann ohne Rechtsgrundlage veröffentlicht werden</w:t>
            </w:r>
          </w:p>
        </w:tc>
      </w:tr>
      <w:tr w:rsidR="00CC70E5" w14:paraId="79463EAF" w14:textId="77777777" w:rsidTr="004F77C2">
        <w:tc>
          <w:tcPr>
            <w:tcW w:w="1543" w:type="dxa"/>
            <w:shd w:val="clear" w:color="auto" w:fill="A8D08D" w:themeFill="accent6" w:themeFillTint="99"/>
          </w:tcPr>
          <w:p w14:paraId="34DE02C5" w14:textId="77777777" w:rsidR="00CC70E5" w:rsidRPr="007704F8" w:rsidRDefault="00CC70E5" w:rsidP="00CC70E5">
            <w:pPr>
              <w:ind w:left="0"/>
              <w:rPr>
                <w:sz w:val="16"/>
                <w:szCs w:val="16"/>
              </w:rPr>
            </w:pPr>
            <w:r w:rsidRPr="007704F8">
              <w:rPr>
                <w:sz w:val="16"/>
                <w:szCs w:val="16"/>
              </w:rPr>
              <w:t>Kein Grundrechtseingriff</w:t>
            </w:r>
          </w:p>
        </w:tc>
        <w:tc>
          <w:tcPr>
            <w:tcW w:w="3277" w:type="dxa"/>
            <w:shd w:val="clear" w:color="auto" w:fill="A8D08D" w:themeFill="accent6" w:themeFillTint="99"/>
          </w:tcPr>
          <w:p w14:paraId="441D1AE7" w14:textId="0D838B0C" w:rsidR="00CC70E5" w:rsidRPr="007704F8" w:rsidRDefault="00CC70E5" w:rsidP="002B0F82">
            <w:pPr>
              <w:ind w:left="0"/>
              <w:rPr>
                <w:sz w:val="16"/>
                <w:szCs w:val="16"/>
              </w:rPr>
            </w:pPr>
            <w:r w:rsidRPr="007704F8">
              <w:rPr>
                <w:sz w:val="16"/>
                <w:szCs w:val="16"/>
              </w:rPr>
              <w:t xml:space="preserve">Person ist </w:t>
            </w:r>
            <w:r>
              <w:rPr>
                <w:sz w:val="16"/>
                <w:szCs w:val="16"/>
              </w:rPr>
              <w:t xml:space="preserve">eindeutig </w:t>
            </w:r>
            <w:r w:rsidRPr="007704F8">
              <w:rPr>
                <w:sz w:val="16"/>
                <w:szCs w:val="16"/>
              </w:rPr>
              <w:t>nicht erkennbar / identifizierbar z.</w:t>
            </w:r>
            <w:r w:rsidR="00C97476">
              <w:rPr>
                <w:sz w:val="16"/>
                <w:szCs w:val="16"/>
              </w:rPr>
              <w:t xml:space="preserve"> </w:t>
            </w:r>
            <w:r w:rsidRPr="007704F8">
              <w:rPr>
                <w:sz w:val="16"/>
                <w:szCs w:val="16"/>
              </w:rPr>
              <w:t>B. weil</w:t>
            </w:r>
            <w:r>
              <w:rPr>
                <w:sz w:val="16"/>
                <w:szCs w:val="16"/>
              </w:rPr>
              <w:t xml:space="preserve"> die Person nur vage sichtbar ist oder </w:t>
            </w:r>
            <w:r w:rsidR="002B0F82">
              <w:rPr>
                <w:sz w:val="16"/>
                <w:szCs w:val="16"/>
              </w:rPr>
              <w:t xml:space="preserve">von </w:t>
            </w:r>
            <w:r>
              <w:rPr>
                <w:sz w:val="16"/>
                <w:szCs w:val="16"/>
              </w:rPr>
              <w:t>diese</w:t>
            </w:r>
            <w:r w:rsidR="002B0F82">
              <w:rPr>
                <w:sz w:val="16"/>
                <w:szCs w:val="16"/>
              </w:rPr>
              <w:t>r</w:t>
            </w:r>
            <w:r w:rsidRPr="007704F8">
              <w:rPr>
                <w:sz w:val="16"/>
                <w:szCs w:val="16"/>
              </w:rPr>
              <w:t xml:space="preserve"> in einer Menschenmenge nur der Haaransatz oder der Rücken zu sehen ist</w:t>
            </w:r>
            <w:r>
              <w:rPr>
                <w:sz w:val="16"/>
                <w:szCs w:val="16"/>
              </w:rPr>
              <w:t xml:space="preserve">. Der Aufwand zur </w:t>
            </w:r>
            <w:r w:rsidRPr="00603A2A">
              <w:rPr>
                <w:sz w:val="16"/>
                <w:szCs w:val="16"/>
              </w:rPr>
              <w:t xml:space="preserve">Identifizierung </w:t>
            </w:r>
            <w:r>
              <w:rPr>
                <w:sz w:val="16"/>
                <w:szCs w:val="16"/>
              </w:rPr>
              <w:t>ist unverhältnismäßig hoch.</w:t>
            </w:r>
          </w:p>
        </w:tc>
        <w:tc>
          <w:tcPr>
            <w:tcW w:w="1860" w:type="dxa"/>
            <w:shd w:val="clear" w:color="auto" w:fill="A8D08D" w:themeFill="accent6" w:themeFillTint="99"/>
          </w:tcPr>
          <w:p w14:paraId="2B9DF9DE" w14:textId="77777777" w:rsidR="00CC70E5" w:rsidRPr="007704F8" w:rsidRDefault="00CC70E5" w:rsidP="00CC70E5">
            <w:pPr>
              <w:ind w:left="0"/>
              <w:rPr>
                <w:sz w:val="16"/>
                <w:szCs w:val="16"/>
              </w:rPr>
            </w:pPr>
            <w:r w:rsidRPr="007704F8">
              <w:rPr>
                <w:sz w:val="16"/>
                <w:szCs w:val="16"/>
              </w:rPr>
              <w:t>Person ist nicht identifizierbar</w:t>
            </w:r>
          </w:p>
        </w:tc>
        <w:tc>
          <w:tcPr>
            <w:tcW w:w="2250" w:type="dxa"/>
            <w:shd w:val="clear" w:color="auto" w:fill="A8D08D" w:themeFill="accent6" w:themeFillTint="99"/>
          </w:tcPr>
          <w:p w14:paraId="66878D57" w14:textId="77777777" w:rsidR="00CC70E5" w:rsidRPr="007704F8" w:rsidRDefault="00CC70E5" w:rsidP="00CC70E5">
            <w:pPr>
              <w:ind w:left="0"/>
              <w:rPr>
                <w:sz w:val="16"/>
                <w:szCs w:val="16"/>
              </w:rPr>
            </w:pPr>
            <w:r w:rsidRPr="007704F8">
              <w:rPr>
                <w:sz w:val="16"/>
                <w:szCs w:val="16"/>
              </w:rPr>
              <w:t>Nicht benötigt</w:t>
            </w:r>
            <w:r>
              <w:rPr>
                <w:sz w:val="16"/>
                <w:szCs w:val="16"/>
              </w:rPr>
              <w:t xml:space="preserve"> / Kann ohne Rechtsgrundlage veröffentlicht werden</w:t>
            </w:r>
          </w:p>
        </w:tc>
      </w:tr>
    </w:tbl>
    <w:p w14:paraId="16DFB7FD" w14:textId="77777777" w:rsidR="00BC424A" w:rsidRDefault="00BC424A" w:rsidP="00583ACA"/>
    <w:p w14:paraId="36B76B2F" w14:textId="77777777" w:rsidR="004F1206" w:rsidRDefault="007054F5" w:rsidP="007054F5">
      <w:r>
        <w:t xml:space="preserve">Sobald personenbezogene Daten verarbeitet werden, muss dies auf einer entsprechenden </w:t>
      </w:r>
      <w:r w:rsidR="00DB3B19">
        <w:t>Rechtsg</w:t>
      </w:r>
      <w:r>
        <w:t xml:space="preserve">rundlage beruhen. Für die Erstellung und Veröffentlichung von </w:t>
      </w:r>
      <w:r w:rsidR="00C038BA">
        <w:t>Bildaufnahmen</w:t>
      </w:r>
      <w:r>
        <w:t xml:space="preserve"> kommen </w:t>
      </w:r>
      <w:r w:rsidR="00D75B35">
        <w:t xml:space="preserve">grundsätzlich </w:t>
      </w:r>
      <w:r w:rsidR="003F2B4D">
        <w:t>zwei</w:t>
      </w:r>
      <w:r>
        <w:t xml:space="preserve"> Rechtsgrundlagen in Betr</w:t>
      </w:r>
      <w:r w:rsidR="00D75B35">
        <w:t xml:space="preserve">acht: </w:t>
      </w:r>
    </w:p>
    <w:p w14:paraId="3966A256" w14:textId="183FF13F" w:rsidR="004F1206" w:rsidRDefault="00D75B35" w:rsidP="004F1206">
      <w:pPr>
        <w:pStyle w:val="Listenabsatz"/>
        <w:numPr>
          <w:ilvl w:val="0"/>
          <w:numId w:val="16"/>
        </w:numPr>
      </w:pPr>
      <w:r>
        <w:t>Art. 6 Abs. 1 S. 1 lit. e</w:t>
      </w:r>
      <w:r w:rsidR="007054F5">
        <w:t xml:space="preserve"> </w:t>
      </w:r>
      <w:r w:rsidRPr="00D75B35">
        <w:t xml:space="preserve">DSGVO </w:t>
      </w:r>
      <w:r w:rsidR="007054F5">
        <w:t xml:space="preserve">(öffentliche Aufgabe) </w:t>
      </w:r>
      <w:r w:rsidR="00791413">
        <w:t xml:space="preserve">in Verbindung mit </w:t>
      </w:r>
      <w:r w:rsidR="00D63998">
        <w:t>§</w:t>
      </w:r>
      <w:r w:rsidR="00C97476">
        <w:t xml:space="preserve"> </w:t>
      </w:r>
      <w:r w:rsidR="00D63998">
        <w:t xml:space="preserve">6 Abs. 1 (12) BerlHG / </w:t>
      </w:r>
      <w:r w:rsidR="00346D25">
        <w:t>§</w:t>
      </w:r>
      <w:r w:rsidR="00C97476">
        <w:t xml:space="preserve"> </w:t>
      </w:r>
      <w:r w:rsidR="00346D25">
        <w:t xml:space="preserve">4 Abs. </w:t>
      </w:r>
      <w:r w:rsidR="00D63998">
        <w:t>4</w:t>
      </w:r>
      <w:r w:rsidR="00346D25">
        <w:t xml:space="preserve"> BerlHG </w:t>
      </w:r>
      <w:r w:rsidR="004F1206" w:rsidRPr="004F1206">
        <w:t>oder</w:t>
      </w:r>
      <w:r w:rsidR="00346D25">
        <w:t xml:space="preserve"> </w:t>
      </w:r>
    </w:p>
    <w:p w14:paraId="1FA2147E" w14:textId="55124825" w:rsidR="007054F5" w:rsidRDefault="007054F5" w:rsidP="004F1206">
      <w:pPr>
        <w:pStyle w:val="Listenabsatz"/>
        <w:numPr>
          <w:ilvl w:val="0"/>
          <w:numId w:val="16"/>
        </w:numPr>
      </w:pPr>
      <w:r>
        <w:t>Art. 6 Abs. 1 S. 1 lit. a DSGVO (Einwilligung)</w:t>
      </w:r>
      <w:r w:rsidR="00044B56">
        <w:t>.</w:t>
      </w:r>
      <w:r w:rsidR="008E77A4">
        <w:t xml:space="preserve"> </w:t>
      </w:r>
    </w:p>
    <w:p w14:paraId="297DC2FE" w14:textId="63C3EDAF" w:rsidR="00BD6EAA" w:rsidRDefault="007054F5" w:rsidP="00BD6EAA">
      <w:r>
        <w:t>Nach Art. 6 Abs. 1 S. 1 lit. e) ist die Datenverarbeitung rechtmäßig, wenn sie für die Wahrnehmung einer öffentlichen Au</w:t>
      </w:r>
      <w:r w:rsidR="00D810B3">
        <w:t xml:space="preserve">fgabe erforderlich ist, die der HWR </w:t>
      </w:r>
      <w:r w:rsidR="00B416B9">
        <w:t xml:space="preserve">Berlin </w:t>
      </w:r>
      <w:r>
        <w:t>übertragen</w:t>
      </w:r>
      <w:r w:rsidR="005B56FD">
        <w:t xml:space="preserve"> wurde. </w:t>
      </w:r>
      <w:r w:rsidR="00AB3050">
        <w:t>D</w:t>
      </w:r>
      <w:r w:rsidR="005B56FD">
        <w:t xml:space="preserve">ie </w:t>
      </w:r>
      <w:r w:rsidR="005B56FD" w:rsidRPr="005B56FD">
        <w:t>Öffentlichkeitsarbeit</w:t>
      </w:r>
      <w:r w:rsidR="005B56FD">
        <w:t xml:space="preserve"> </w:t>
      </w:r>
      <w:r w:rsidR="00DF5655">
        <w:t>(</w:t>
      </w:r>
      <w:r w:rsidR="00DF5655" w:rsidRPr="006659C4">
        <w:rPr>
          <w:b/>
        </w:rPr>
        <w:t>Achtung</w:t>
      </w:r>
      <w:r w:rsidR="00DF5655">
        <w:t>: nicht Hochschulmarketing</w:t>
      </w:r>
      <w:r w:rsidR="00AB3050">
        <w:t xml:space="preserve"> / werbliche </w:t>
      </w:r>
      <w:r w:rsidR="00AB3050">
        <w:lastRenderedPageBreak/>
        <w:t>Außendarstellung</w:t>
      </w:r>
      <w:r w:rsidR="00DF5655">
        <w:t xml:space="preserve">) </w:t>
      </w:r>
      <w:r w:rsidR="005F4DD5">
        <w:t xml:space="preserve">ist eine derartige Aufgabe. </w:t>
      </w:r>
      <w:r w:rsidR="00BD6EAA">
        <w:t xml:space="preserve">Eine Veröffentlichung von Bild- und Videoaufnahmen kann </w:t>
      </w:r>
      <w:r w:rsidR="00753832">
        <w:t>auf Medien der Hochschule</w:t>
      </w:r>
      <w:r w:rsidR="00753832">
        <w:rPr>
          <w:rStyle w:val="Funotenzeichen"/>
        </w:rPr>
        <w:footnoteReference w:id="1"/>
      </w:r>
      <w:r w:rsidR="00753832">
        <w:t xml:space="preserve"> </w:t>
      </w:r>
      <w:r w:rsidR="00DC170E">
        <w:t xml:space="preserve">demnach </w:t>
      </w:r>
      <w:r w:rsidR="00BD6EAA">
        <w:t>erfolgen, wenn dienstliche Belange es erfordern. Die Veröffentlichung dieser Daten ist zulässig, wenn sie zur Erfüllung</w:t>
      </w:r>
      <w:r w:rsidR="00DC170E">
        <w:t>,</w:t>
      </w:r>
      <w:r w:rsidR="00BD6EAA">
        <w:t xml:space="preserve"> der in der Zuständigkeit der Hochschule liegenden Aufgaben erforderlich ist, das Gebot der Datensparsamkeit beachtet wird und keine schutzwürdigen Interesse der Betroffenen entgegenstehen. </w:t>
      </w:r>
    </w:p>
    <w:p w14:paraId="58AE4D55" w14:textId="54737A88" w:rsidR="00BD6EAA" w:rsidRDefault="00BD6EAA" w:rsidP="00BD6EAA">
      <w:r w:rsidRPr="00DC170E">
        <w:t xml:space="preserve">Erforderlich </w:t>
      </w:r>
      <w:r w:rsidR="00DC170E" w:rsidRPr="00DC170E">
        <w:t xml:space="preserve">ist die Veröffentlichung von Fotos zur Öffentlichkeitsarbeit </w:t>
      </w:r>
      <w:r w:rsidR="005628A8">
        <w:t>n</w:t>
      </w:r>
      <w:r w:rsidRPr="00DC170E">
        <w:t xml:space="preserve">ur bei Anlässen von </w:t>
      </w:r>
      <w:r w:rsidR="00617A29" w:rsidRPr="00DC170E">
        <w:t>höherem</w:t>
      </w:r>
      <w:r w:rsidRPr="00DC170E">
        <w:t xml:space="preserve"> Rang, was i.d.R. bei Repräsentationsveranstaltungen </w:t>
      </w:r>
      <w:r w:rsidR="00617A29" w:rsidRPr="00DC170E">
        <w:t xml:space="preserve">/ Graduierungsfeiern / Tag der offenen Tür / Erstsemestereinführungsveranstaltungen </w:t>
      </w:r>
      <w:r w:rsidRPr="00DC170E">
        <w:t>der Fall sein dürfte. Dabei darf es jedoch kein systematisches Abfotografieren der gesamten Veranstaltung geben (z.</w:t>
      </w:r>
      <w:r w:rsidR="00C97476">
        <w:t xml:space="preserve"> </w:t>
      </w:r>
      <w:r w:rsidRPr="00DC170E">
        <w:t xml:space="preserve">B. alle Teilnehmer bei Betreten). Vielmehr muss sich auf </w:t>
      </w:r>
      <w:r w:rsidRPr="005628A8">
        <w:rPr>
          <w:b/>
        </w:rPr>
        <w:t>hervorgehobene Funktionsträger</w:t>
      </w:r>
      <w:r w:rsidRPr="00DC170E">
        <w:t xml:space="preserve"> beschränkt werden. Die Fotos müssen im Vorfeld angekündigt werden und einzelne Teilnehmer sollt</w:t>
      </w:r>
      <w:r w:rsidR="005628A8">
        <w:t>en die Möglichkeit haben, den Aufnahmen</w:t>
      </w:r>
      <w:r w:rsidRPr="00DC170E">
        <w:t xml:space="preserve"> auszuweichen. </w:t>
      </w:r>
      <w:r w:rsidR="005628A8">
        <w:t>Es ist dabei darauf zu achten, dass</w:t>
      </w:r>
      <w:r w:rsidR="005B7776">
        <w:t xml:space="preserve"> ausschließlich Bildaufnahmen </w:t>
      </w:r>
      <w:r w:rsidRPr="00DC170E">
        <w:t>hohe</w:t>
      </w:r>
      <w:r w:rsidR="005B7776">
        <w:t>r</w:t>
      </w:r>
      <w:r w:rsidRPr="00DC170E">
        <w:t xml:space="preserve"> Funktionsträger der HWR</w:t>
      </w:r>
      <w:r w:rsidR="00B416B9">
        <w:t xml:space="preserve"> Berlin</w:t>
      </w:r>
      <w:r w:rsidRPr="00DC170E">
        <w:t xml:space="preserve"> </w:t>
      </w:r>
      <w:r w:rsidR="005B7776">
        <w:t>aufgrund dieser Rechtsgrundlage veröffentlicht werden dürfen</w:t>
      </w:r>
      <w:r w:rsidR="00B91544">
        <w:rPr>
          <w:rStyle w:val="Funotenzeichen"/>
        </w:rPr>
        <w:footnoteReference w:id="2"/>
      </w:r>
      <w:r w:rsidR="005B7776">
        <w:t xml:space="preserve">. </w:t>
      </w:r>
      <w:r w:rsidR="00B91544">
        <w:t xml:space="preserve">Von allen anderen Personen ist eine Einwilligung einzuholen. </w:t>
      </w:r>
      <w:r w:rsidRPr="00DC170E">
        <w:t xml:space="preserve">Der Presse (oder anderen Dritten) sollten zudem keine umfangreichen Bildarchive der Veranstaltung zur Verfügung gestellt werden, sondern nur sorgsam ausgewählte </w:t>
      </w:r>
      <w:r w:rsidR="00B91544">
        <w:t>Bildaufnahmen</w:t>
      </w:r>
      <w:r w:rsidRPr="00DC170E">
        <w:t>.</w:t>
      </w:r>
    </w:p>
    <w:p w14:paraId="11833CB8" w14:textId="63916E0F" w:rsidR="00DC170E" w:rsidRDefault="00DC170E" w:rsidP="00BD6EAA">
      <w:r>
        <w:t xml:space="preserve">Das Anfertigen und die Veröffentlichung von Film- und Fotoaufnahmen zur </w:t>
      </w:r>
      <w:r w:rsidRPr="00BD6EAA">
        <w:rPr>
          <w:b/>
        </w:rPr>
        <w:t>werblichen Außendarstellung</w:t>
      </w:r>
      <w:r>
        <w:rPr>
          <w:b/>
        </w:rPr>
        <w:t xml:space="preserve"> / Marketing</w:t>
      </w:r>
      <w:r>
        <w:t xml:space="preserve"> </w:t>
      </w:r>
      <w:r w:rsidR="00B91544">
        <w:t xml:space="preserve">ist </w:t>
      </w:r>
      <w:r>
        <w:t>immer einwilligungspflichtig.</w:t>
      </w:r>
      <w:r w:rsidR="00B416B9">
        <w:t xml:space="preserve"> Auf Anfrage stellen wir Ihnen gerne ein </w:t>
      </w:r>
      <w:r w:rsidR="00B416B9" w:rsidRPr="00B416B9">
        <w:rPr>
          <w:b/>
        </w:rPr>
        <w:t xml:space="preserve">elektronisches Tool </w:t>
      </w:r>
      <w:r w:rsidR="00B416B9">
        <w:t>zur Dokumentation und Einholung von Einwilligungen zur Verfügung.</w:t>
      </w:r>
    </w:p>
    <w:p w14:paraId="31D9A586" w14:textId="0CC07556" w:rsidR="00115941" w:rsidRPr="001541C5" w:rsidRDefault="00617A29" w:rsidP="001541C5">
      <w:pPr>
        <w:pStyle w:val="Listenabsatz"/>
        <w:numPr>
          <w:ilvl w:val="0"/>
          <w:numId w:val="15"/>
        </w:numPr>
        <w:rPr>
          <w:b/>
        </w:rPr>
      </w:pPr>
      <w:r w:rsidRPr="001541C5">
        <w:rPr>
          <w:b/>
        </w:rPr>
        <w:t>Zusammenfassung</w:t>
      </w:r>
    </w:p>
    <w:p w14:paraId="05AFD1E3" w14:textId="5F3D54CB" w:rsidR="003E4B83" w:rsidRDefault="00CF4D9C" w:rsidP="00E61AEF">
      <w:r w:rsidRPr="00E61AEF">
        <w:t>Auf Veranstaltungen, die hohen repräsentativen Aufgaben dienen, müssen von hohen Repräsentationsträgern keine Einwilligungen zur Veröffentlichung der Bildaufnahmen</w:t>
      </w:r>
      <w:r w:rsidR="00ED5EBC">
        <w:t xml:space="preserve"> </w:t>
      </w:r>
      <w:r w:rsidR="006F6F11">
        <w:t xml:space="preserve">für Zwecke der Öffentlichkeitsarbeit </w:t>
      </w:r>
      <w:r w:rsidR="00ED5EBC">
        <w:t>eingeholt werden</w:t>
      </w:r>
      <w:r w:rsidR="00C038BA" w:rsidRPr="00E61AEF">
        <w:t>. Von allen anderen abgebildeten und identifizierten</w:t>
      </w:r>
      <w:r w:rsidR="00044B56">
        <w:t xml:space="preserve"> bzw. identifizierbaren</w:t>
      </w:r>
      <w:r w:rsidR="00C038BA" w:rsidRPr="00E61AEF">
        <w:t xml:space="preserve"> Personen muss eine Einwilligung eingeholt werden.</w:t>
      </w:r>
      <w:r w:rsidR="003B2BCA">
        <w:t xml:space="preserve"> Allen Personen ist durch geeignete Maßnahmen die Möglichkeit zu geben, sich der Aufnahme zu entziehen.</w:t>
      </w:r>
      <w:r w:rsidR="00C038BA" w:rsidRPr="00E61AEF">
        <w:t xml:space="preserve"> </w:t>
      </w:r>
      <w:r w:rsidR="00F47152">
        <w:t xml:space="preserve">Bildaufnahmen aller eindeutig nicht </w:t>
      </w:r>
      <w:r w:rsidR="00F47152" w:rsidRPr="00D3557F">
        <w:t xml:space="preserve">identifizierten / identifizierbaren Personen </w:t>
      </w:r>
      <w:r w:rsidR="00F47152">
        <w:t>können veröffentlicht werden</w:t>
      </w:r>
      <w:r w:rsidR="006F6F11">
        <w:t xml:space="preserve"> – siehe Tabelle</w:t>
      </w:r>
      <w:r w:rsidR="00F47152">
        <w:t xml:space="preserve">. </w:t>
      </w:r>
      <w:r w:rsidR="00C038BA" w:rsidRPr="00E61AEF">
        <w:t xml:space="preserve">In </w:t>
      </w:r>
      <w:r w:rsidR="003B2BCA">
        <w:t>allen vorgenannten</w:t>
      </w:r>
      <w:r w:rsidR="00C038BA" w:rsidRPr="00E61AEF">
        <w:t xml:space="preserve"> Fällen ist den Transparenz- und Informationspflichten i</w:t>
      </w:r>
      <w:r w:rsidR="00E61AEF">
        <w:t>n</w:t>
      </w:r>
      <w:r w:rsidR="00C038BA" w:rsidRPr="00E61AEF">
        <w:t xml:space="preserve"> geeigneter Form nachzukommen</w:t>
      </w:r>
      <w:r w:rsidR="003E4B83">
        <w:t xml:space="preserve"> – siehe Vorlagen im Anhang.</w:t>
      </w:r>
    </w:p>
    <w:p w14:paraId="45139A87" w14:textId="2615DBEC" w:rsidR="00115941" w:rsidRDefault="00C038BA" w:rsidP="00E61AEF">
      <w:r w:rsidRPr="00E61AEF">
        <w:t>Auf allen</w:t>
      </w:r>
      <w:r w:rsidR="003E4B83">
        <w:t xml:space="preserve"> anderen Veranstaltungen</w:t>
      </w:r>
      <w:r w:rsidR="00E61AEF" w:rsidRPr="00E61AEF">
        <w:t xml:space="preserve"> müssen von allen abgebildeten und identifizierten</w:t>
      </w:r>
      <w:r w:rsidR="0033635C">
        <w:t xml:space="preserve"> / identifizierbaren</w:t>
      </w:r>
      <w:r w:rsidR="00E61AEF" w:rsidRPr="00E61AEF">
        <w:t xml:space="preserve"> Personen Einwilligung</w:t>
      </w:r>
      <w:r w:rsidR="006659C4">
        <w:t>en</w:t>
      </w:r>
      <w:r w:rsidR="00E61AEF" w:rsidRPr="00E61AEF">
        <w:t xml:space="preserve"> eingeholt werden. </w:t>
      </w:r>
      <w:r w:rsidR="003B2BCA" w:rsidRPr="003B2BCA">
        <w:t>Alle</w:t>
      </w:r>
      <w:r w:rsidR="003B2BCA">
        <w:t>n</w:t>
      </w:r>
      <w:r w:rsidR="003B2BCA" w:rsidRPr="003B2BCA">
        <w:t xml:space="preserve"> anderen Personen ist durch geeignete Maßnahmen die Möglichkeit zu geben, sich der Aufnahme zu entziehen. </w:t>
      </w:r>
      <w:r w:rsidR="00D3557F">
        <w:t xml:space="preserve">Bildaufnahmen aller eindeutig nicht </w:t>
      </w:r>
      <w:r w:rsidR="00D3557F" w:rsidRPr="00D3557F">
        <w:t xml:space="preserve">identifizierten / identifizierbaren Personen </w:t>
      </w:r>
      <w:r w:rsidR="00D3557F">
        <w:t xml:space="preserve">können veröffentlicht werden. </w:t>
      </w:r>
      <w:r w:rsidR="003B2BCA" w:rsidRPr="003B2BCA">
        <w:t xml:space="preserve">In allen vorgenannten Fällen ist </w:t>
      </w:r>
      <w:r w:rsidR="00CF19D0">
        <w:t xml:space="preserve">immer </w:t>
      </w:r>
      <w:r w:rsidR="003B2BCA" w:rsidRPr="003B2BCA">
        <w:t>den Transparenz- und Informationspflichten in geeigneter Form nachzukommen.</w:t>
      </w:r>
    </w:p>
    <w:p w14:paraId="2FA2BE8F" w14:textId="77777777" w:rsidR="00754033" w:rsidRDefault="00754033" w:rsidP="00E61AEF"/>
    <w:p w14:paraId="587BBAFD" w14:textId="3BE0942D" w:rsidR="00754033" w:rsidRDefault="00754033" w:rsidP="001541C5">
      <w:pPr>
        <w:pStyle w:val="Listenabsatz"/>
        <w:numPr>
          <w:ilvl w:val="0"/>
          <w:numId w:val="15"/>
        </w:numPr>
        <w:rPr>
          <w:b/>
        </w:rPr>
      </w:pPr>
      <w:r>
        <w:rPr>
          <w:b/>
        </w:rPr>
        <w:t>Löschung von Bildern, Videos und Audioaufnahmen</w:t>
      </w:r>
    </w:p>
    <w:p w14:paraId="1223AAFA" w14:textId="5B909586" w:rsidR="0026193C" w:rsidRDefault="00754033" w:rsidP="00754033">
      <w:r w:rsidRPr="00754033">
        <w:lastRenderedPageBreak/>
        <w:t xml:space="preserve">Aus datenschutzrechtlicher Sicht ist die rechtskonforme Aufbewahrung und Vernichtung personenbezogener Daten ein zentrales Thema. </w:t>
      </w:r>
      <w:r w:rsidR="0026193C">
        <w:t>Die wesentliche Frage</w:t>
      </w:r>
      <w:r w:rsidRPr="00754033">
        <w:t xml:space="preserve"> in diesem Zusammenhang </w:t>
      </w:r>
      <w:r w:rsidR="0026193C">
        <w:t>ist</w:t>
      </w:r>
      <w:r w:rsidR="00C34EA2">
        <w:t xml:space="preserve"> folgende:</w:t>
      </w:r>
    </w:p>
    <w:p w14:paraId="40245138" w14:textId="39B7C96A" w:rsidR="00912FE0" w:rsidRDefault="00754033" w:rsidP="00861D18">
      <w:r w:rsidRPr="00754033">
        <w:t xml:space="preserve">Personenbezogene Daten dürfen gemäß Art. 5 Abs. 1 lit. b DSGVO nur so lange gespeichert und verarbeitet werden, wie dies für den jeweils Zweck nötig ist. Wenn der Zweck nicht mehr besteht, müssen sie grundsätzlich gelöscht werden (sog. Löschzwang). </w:t>
      </w:r>
      <w:r w:rsidR="00912FE0">
        <w:t>Bei Veröffentlichungen zu Marketingzwecken</w:t>
      </w:r>
      <w:r w:rsidR="00C34EA2">
        <w:t xml:space="preserve"> gilt dies</w:t>
      </w:r>
      <w:r w:rsidR="00912FE0">
        <w:t xml:space="preserve">, sobald eine einmalige Marketingaktion beendet ist oder nach sinnvollem Ermessen kein Interesse der Öffentlichkeit </w:t>
      </w:r>
      <w:r w:rsidR="00861D18">
        <w:t>an der Außendarstellung zu erwarten ist.</w:t>
      </w:r>
      <w:r w:rsidR="00912FE0">
        <w:t xml:space="preserve"> Sinnvollerweise liegt diese zwischen </w:t>
      </w:r>
      <w:r w:rsidR="00861D18">
        <w:t>1 und 5 Jahren.</w:t>
      </w:r>
    </w:p>
    <w:p w14:paraId="689DA03A" w14:textId="52238F04" w:rsidR="00724BF5" w:rsidRDefault="00861D18" w:rsidP="00861D18">
      <w:r w:rsidRPr="009B316A">
        <w:rPr>
          <w:b/>
        </w:rPr>
        <w:t>Wichtig ist</w:t>
      </w:r>
      <w:r>
        <w:t xml:space="preserve">, dass das federführende Fachverfahren für die Einhaltung der Löschfristen verantwortlich ist. </w:t>
      </w:r>
      <w:r w:rsidR="00C97476">
        <w:t>Beispielsweise</w:t>
      </w:r>
      <w:r>
        <w:t xml:space="preserve"> soll</w:t>
      </w:r>
      <w:r w:rsidR="009B316A">
        <w:t>en</w:t>
      </w:r>
      <w:r>
        <w:t xml:space="preserve"> auf einer Veranstaltung des </w:t>
      </w:r>
      <w:r w:rsidR="009B316A">
        <w:t>INA Instituts</w:t>
      </w:r>
      <w:r>
        <w:t xml:space="preserve"> auf der Veranstaltung </w:t>
      </w:r>
      <w:r w:rsidR="009B316A">
        <w:t xml:space="preserve">„20. </w:t>
      </w:r>
      <w:r w:rsidR="009B316A" w:rsidRPr="009B316A">
        <w:t>Nachhaltigkeitsforum</w:t>
      </w:r>
      <w:r w:rsidR="009B316A">
        <w:t xml:space="preserve">“ Bildaufnahmen erstellt und zur öffentlichen Darstellung auf der Webseite der HWR Berlin veröffentlicht werden. Dazu leitet das INA die Bilder an die Hochschulkommunikation zur Veröffentlichung weiter. </w:t>
      </w:r>
    </w:p>
    <w:p w14:paraId="495B7E04" w14:textId="2E782B8A" w:rsidR="00861D18" w:rsidRDefault="009B316A" w:rsidP="00861D18">
      <w:pPr>
        <w:rPr>
          <w:b/>
        </w:rPr>
      </w:pPr>
      <w:r w:rsidRPr="00724BF5">
        <w:rPr>
          <w:b/>
        </w:rPr>
        <w:t>Das INA hat bezüglich der Bilder ein Löschkonzept zu erstellen, das den Tag der Aufnahme, die Löschfrist und den Tag der Löschung festhält. Es muss ein Prozess im INA implementiert werden, der nach Ablauf der Löschfrist garantiert, dass die Bildaufnahmen wieder von der Webseite und allen Speichermedien garantiert.</w:t>
      </w:r>
    </w:p>
    <w:p w14:paraId="532B173A" w14:textId="02BB35EC" w:rsidR="00724BF5" w:rsidRPr="00724BF5" w:rsidRDefault="00724BF5" w:rsidP="00861D18">
      <w:r w:rsidRPr="00724BF5">
        <w:t xml:space="preserve">Eine Löschung von Bildaufnahmen aus </w:t>
      </w:r>
      <w:r w:rsidRPr="00724BF5">
        <w:rPr>
          <w:b/>
        </w:rPr>
        <w:t>Printmedien</w:t>
      </w:r>
      <w:r w:rsidRPr="00724BF5">
        <w:t xml:space="preserve"> ist im Nachgang nicht mehr möglich. Jedoch dürfen Bilder nach Ablauf der Löschfrist oder einem Widerruf der Einwilligung nicht mehr erneut in Printmedien veröffentlicht werden.</w:t>
      </w:r>
    </w:p>
    <w:p w14:paraId="1C1BF534" w14:textId="117534EA" w:rsidR="006F68A1" w:rsidRPr="006F68A1" w:rsidRDefault="006F68A1" w:rsidP="001541C5">
      <w:pPr>
        <w:pStyle w:val="Listenabsatz"/>
        <w:numPr>
          <w:ilvl w:val="0"/>
          <w:numId w:val="15"/>
        </w:numPr>
        <w:rPr>
          <w:b/>
        </w:rPr>
      </w:pPr>
      <w:r w:rsidRPr="006F68A1">
        <w:rPr>
          <w:b/>
        </w:rPr>
        <w:t>Beauftragung externer Fotografen</w:t>
      </w:r>
      <w:r w:rsidR="00C82261">
        <w:rPr>
          <w:b/>
        </w:rPr>
        <w:t xml:space="preserve"> – datenschutzrechtliche Verantwortlichkeit</w:t>
      </w:r>
    </w:p>
    <w:p w14:paraId="779A7C4B" w14:textId="57CBBAC6" w:rsidR="00FE53C8" w:rsidRDefault="006F68A1" w:rsidP="00C82261">
      <w:pPr>
        <w:sectPr w:rsidR="00FE53C8">
          <w:headerReference w:type="default" r:id="rId8"/>
          <w:pgSz w:w="11906" w:h="16838"/>
          <w:pgMar w:top="1417" w:right="1417" w:bottom="1134" w:left="1417" w:header="708" w:footer="708" w:gutter="0"/>
          <w:cols w:space="708"/>
          <w:docGrid w:linePitch="360"/>
        </w:sectPr>
      </w:pPr>
      <w:r w:rsidRPr="00C82261">
        <w:t xml:space="preserve">Mit der Anfertigung von </w:t>
      </w:r>
      <w:r w:rsidR="00C82261">
        <w:t xml:space="preserve">Bildaufnahmen </w:t>
      </w:r>
      <w:r w:rsidRPr="00C82261">
        <w:t xml:space="preserve">kann die </w:t>
      </w:r>
      <w:r w:rsidR="00C82261">
        <w:t>HWR</w:t>
      </w:r>
      <w:r w:rsidRPr="00C82261">
        <w:t xml:space="preserve"> </w:t>
      </w:r>
      <w:r w:rsidR="004F77C2">
        <w:t xml:space="preserve">Berlin </w:t>
      </w:r>
      <w:r w:rsidRPr="00C82261">
        <w:t xml:space="preserve">einen privaten Dienstleister, insbesondere einen </w:t>
      </w:r>
      <w:r w:rsidR="004F77C2" w:rsidRPr="004F77C2">
        <w:t>eine/n externe/n Fotograf/in</w:t>
      </w:r>
      <w:r w:rsidR="00F47152">
        <w:t xml:space="preserve"> beauftragen. In diesem Fall</w:t>
      </w:r>
      <w:r w:rsidRPr="00C82261">
        <w:t xml:space="preserve"> sind </w:t>
      </w:r>
      <w:r w:rsidR="00C97476">
        <w:t xml:space="preserve">die </w:t>
      </w:r>
      <w:r w:rsidR="000331F1" w:rsidRPr="00C82261">
        <w:t xml:space="preserve">gesetzlichen Vorgaben des Art. </w:t>
      </w:r>
      <w:r w:rsidR="000331F1">
        <w:t xml:space="preserve">26 oder </w:t>
      </w:r>
      <w:r w:rsidR="000331F1" w:rsidRPr="00C82261">
        <w:t>28 DSGVO zu beachten</w:t>
      </w:r>
      <w:r w:rsidR="000331F1">
        <w:t xml:space="preserve">. </w:t>
      </w:r>
      <w:r w:rsidR="00C82261">
        <w:t xml:space="preserve">Eine </w:t>
      </w:r>
      <w:r w:rsidR="00C97476">
        <w:t xml:space="preserve">Abgrenzung, </w:t>
      </w:r>
      <w:r w:rsidR="000331F1">
        <w:t xml:space="preserve">welche </w:t>
      </w:r>
      <w:r w:rsidR="008025C2">
        <w:t xml:space="preserve">rechtliche </w:t>
      </w:r>
      <w:r w:rsidR="00F47152">
        <w:t>Konstellation vorliegt</w:t>
      </w:r>
      <w:r w:rsidR="008025C2">
        <w:t xml:space="preserve"> und</w:t>
      </w:r>
      <w:r w:rsidR="000331F1">
        <w:t xml:space="preserve"> </w:t>
      </w:r>
      <w:r w:rsidR="00F47152">
        <w:t xml:space="preserve">welche Rechtsfolgen dies hat, </w:t>
      </w:r>
      <w:r w:rsidR="008025C2">
        <w:t>kann der</w:t>
      </w:r>
      <w:r w:rsidR="00C82261">
        <w:t xml:space="preserve"> folgende</w:t>
      </w:r>
      <w:r w:rsidR="008025C2">
        <w:t>n</w:t>
      </w:r>
      <w:r w:rsidR="00C82261">
        <w:t xml:space="preserve"> Grafik</w:t>
      </w:r>
      <w:r w:rsidR="008025C2">
        <w:t xml:space="preserve"> entnommen werden</w:t>
      </w:r>
      <w:r w:rsidR="00C82261">
        <w:t>:</w:t>
      </w:r>
    </w:p>
    <w:p w14:paraId="7C9F301F" w14:textId="5A894FD5" w:rsidR="00FE53C8" w:rsidRDefault="008025C2" w:rsidP="00D96352">
      <w:pPr>
        <w:jc w:val="center"/>
        <w:sectPr w:rsidR="00FE53C8" w:rsidSect="00FE53C8">
          <w:pgSz w:w="16838" w:h="11906" w:orient="landscape"/>
          <w:pgMar w:top="1417" w:right="1417" w:bottom="1417" w:left="1134" w:header="708" w:footer="708" w:gutter="0"/>
          <w:cols w:space="708"/>
          <w:docGrid w:linePitch="360"/>
        </w:sectPr>
      </w:pPr>
      <w:r>
        <w:rPr>
          <w:noProof/>
          <w:lang w:eastAsia="de-DE"/>
        </w:rPr>
        <w:lastRenderedPageBreak/>
        <w:drawing>
          <wp:inline distT="0" distB="0" distL="0" distR="0" wp14:anchorId="1934D59F" wp14:editId="78A12EB2">
            <wp:extent cx="8591550" cy="5752465"/>
            <wp:effectExtent l="0" t="0" r="0" b="635"/>
            <wp:docPr id="2" name="Grafik 2" descr="Verantwortlichke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antwortlichkeit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91550" cy="5752465"/>
                    </a:xfrm>
                    <a:prstGeom prst="rect">
                      <a:avLst/>
                    </a:prstGeom>
                    <a:noFill/>
                    <a:ln>
                      <a:noFill/>
                    </a:ln>
                  </pic:spPr>
                </pic:pic>
              </a:graphicData>
            </a:graphic>
          </wp:inline>
        </w:drawing>
      </w:r>
    </w:p>
    <w:p w14:paraId="0205FE3E" w14:textId="77777777" w:rsidR="007054F5" w:rsidRPr="00B01FA7" w:rsidRDefault="0067386E" w:rsidP="001541C5">
      <w:pPr>
        <w:pStyle w:val="Listenabsatz"/>
        <w:numPr>
          <w:ilvl w:val="0"/>
          <w:numId w:val="15"/>
        </w:numPr>
        <w:rPr>
          <w:b/>
        </w:rPr>
      </w:pPr>
      <w:r>
        <w:rPr>
          <w:b/>
        </w:rPr>
        <w:lastRenderedPageBreak/>
        <w:t xml:space="preserve">Allgemeine </w:t>
      </w:r>
      <w:r w:rsidR="00A41B50" w:rsidRPr="00B01FA7">
        <w:rPr>
          <w:b/>
        </w:rPr>
        <w:t xml:space="preserve">Empfehlungen für die </w:t>
      </w:r>
      <w:r w:rsidR="000B6132">
        <w:rPr>
          <w:b/>
        </w:rPr>
        <w:t xml:space="preserve">Umsetzung in der </w:t>
      </w:r>
      <w:r w:rsidR="00A41B50" w:rsidRPr="00B01FA7">
        <w:rPr>
          <w:b/>
        </w:rPr>
        <w:t>Praxis</w:t>
      </w:r>
    </w:p>
    <w:p w14:paraId="3AF73012" w14:textId="47A08A75" w:rsidR="00DD1D4E" w:rsidRDefault="00DD1D4E" w:rsidP="00F72CFB">
      <w:r>
        <w:t>Wen</w:t>
      </w:r>
      <w:r w:rsidR="004864BA">
        <w:t xml:space="preserve">n </w:t>
      </w:r>
      <w:r w:rsidR="00D3557F">
        <w:t>Zweifel an der I</w:t>
      </w:r>
      <w:r w:rsidR="00F72CFB">
        <w:t>dentifizierbar</w:t>
      </w:r>
      <w:r w:rsidR="00D3557F">
        <w:t>keit der abgebildeten Personen besteh</w:t>
      </w:r>
      <w:r w:rsidR="00C97476">
        <w:t>en</w:t>
      </w:r>
      <w:r w:rsidR="00D3557F">
        <w:t xml:space="preserve"> und keine Einwilligung vorliegt</w:t>
      </w:r>
      <w:r>
        <w:t xml:space="preserve">, ist von der Veröffentlichung </w:t>
      </w:r>
      <w:r w:rsidRPr="00C97476">
        <w:rPr>
          <w:b/>
        </w:rPr>
        <w:t>abzusehen</w:t>
      </w:r>
      <w:r>
        <w:t xml:space="preserve">. Es sollte </w:t>
      </w:r>
      <w:r w:rsidR="004864BA">
        <w:t>ebenfalls</w:t>
      </w:r>
      <w:r>
        <w:t xml:space="preserve"> bedacht werden, dass das Einholen und Archivieren einer informierten </w:t>
      </w:r>
      <w:r w:rsidR="004864BA">
        <w:t>und rechtswirksamen</w:t>
      </w:r>
      <w:r w:rsidR="004867EB">
        <w:t xml:space="preserve"> Einwilligung</w:t>
      </w:r>
      <w:r w:rsidR="00C97476">
        <w:t xml:space="preserve"> </w:t>
      </w:r>
      <w:r>
        <w:t>einen bedeutenden Aufwand darstellt.</w:t>
      </w:r>
      <w:r w:rsidR="004867EB">
        <w:t xml:space="preserve"> Gleiches gilt für die Gewährleistung der Betroffenenrechte auf </w:t>
      </w:r>
      <w:r w:rsidR="007B1BCA">
        <w:t xml:space="preserve">Information, </w:t>
      </w:r>
      <w:r w:rsidR="004867EB">
        <w:t>Widerruf der Einwilligung, Auskunftsrecht, Recht auf Löschung, Berichtigung, Sperrung und Datenübertragbarkeit</w:t>
      </w:r>
      <w:r w:rsidR="00F72CFB">
        <w:t xml:space="preserve"> (Art.</w:t>
      </w:r>
      <w:r w:rsidR="007B1BCA">
        <w:t xml:space="preserve"> 13-21 DSGVO)</w:t>
      </w:r>
      <w:r w:rsidR="004867EB">
        <w:t>. Die vorgenannten Rechte müssen uneingeschränkt gewährleistet werden können. Es empfiehlt sich entsprechend restriktiv zu veröffentlichen.</w:t>
      </w:r>
    </w:p>
    <w:p w14:paraId="37FBE813" w14:textId="77777777" w:rsidR="007B1BCA" w:rsidRDefault="007B1BCA" w:rsidP="007B1BCA">
      <w:r>
        <w:t xml:space="preserve">Den </w:t>
      </w:r>
      <w:r w:rsidRPr="0041323D">
        <w:t>Informationspflichten</w:t>
      </w:r>
      <w:r>
        <w:t xml:space="preserve"> der DSGVO</w:t>
      </w:r>
      <w:r w:rsidRPr="0041323D">
        <w:t xml:space="preserve"> </w:t>
      </w:r>
      <w:r>
        <w:t xml:space="preserve">muss in jedem Fall </w:t>
      </w:r>
      <w:r w:rsidRPr="0041323D">
        <w:t>genügend nachgekommen werden. Dies e</w:t>
      </w:r>
      <w:r>
        <w:t xml:space="preserve">rfolgt sinnvollerweise durch </w:t>
      </w:r>
    </w:p>
    <w:p w14:paraId="560300F6" w14:textId="0DFB2060" w:rsidR="007B1BCA" w:rsidRDefault="007B1BCA" w:rsidP="007B1BCA">
      <w:pPr>
        <w:pStyle w:val="Listenabsatz"/>
        <w:numPr>
          <w:ilvl w:val="0"/>
          <w:numId w:val="10"/>
        </w:numPr>
      </w:pPr>
      <w:r w:rsidRPr="0041323D">
        <w:t xml:space="preserve">Hinweise in der Einwilligung </w:t>
      </w:r>
    </w:p>
    <w:p w14:paraId="4C48B1F6" w14:textId="560E5EA1" w:rsidR="00D8082D" w:rsidRDefault="007B1BCA" w:rsidP="006E4A68">
      <w:pPr>
        <w:pStyle w:val="Listenabsatz"/>
        <w:numPr>
          <w:ilvl w:val="0"/>
          <w:numId w:val="10"/>
        </w:numPr>
      </w:pPr>
      <w:r w:rsidRPr="0041323D">
        <w:t xml:space="preserve">durch deutlich erkennbare Aushänge am Eingang der Veranstaltung und innerhalb des Veranstaltungssaales </w:t>
      </w:r>
    </w:p>
    <w:p w14:paraId="45828EF8" w14:textId="77777777" w:rsidR="00F00B6D" w:rsidRPr="00A525DA" w:rsidRDefault="00F00B6D" w:rsidP="00F00B6D">
      <w:pPr>
        <w:pStyle w:val="Listenabsatz"/>
        <w:numPr>
          <w:ilvl w:val="0"/>
          <w:numId w:val="10"/>
        </w:numPr>
      </w:pPr>
      <w:r w:rsidRPr="00A525DA">
        <w:t>vor Ort bei der Veranstaltungskoordination</w:t>
      </w:r>
    </w:p>
    <w:p w14:paraId="3CB39B82" w14:textId="77777777" w:rsidR="00F00B6D" w:rsidRDefault="00F00B6D" w:rsidP="00F00B6D">
      <w:pPr>
        <w:pStyle w:val="Listenabsatz"/>
        <w:numPr>
          <w:ilvl w:val="0"/>
          <w:numId w:val="10"/>
        </w:numPr>
      </w:pPr>
      <w:r>
        <w:t>m</w:t>
      </w:r>
      <w:r w:rsidRPr="000F5E73">
        <w:t>ündliche Ansage der Organisatoren zu Beginn der Veranstaltung</w:t>
      </w:r>
    </w:p>
    <w:p w14:paraId="5161A32A" w14:textId="77777777" w:rsidR="00F00B6D" w:rsidRDefault="00F00B6D" w:rsidP="00F00B6D">
      <w:pPr>
        <w:pStyle w:val="Listenabsatz"/>
        <w:numPr>
          <w:ilvl w:val="0"/>
          <w:numId w:val="10"/>
        </w:numPr>
      </w:pPr>
      <w:r w:rsidRPr="000F5E73">
        <w:t>auf Einladungen</w:t>
      </w:r>
      <w:r>
        <w:t xml:space="preserve"> und </w:t>
      </w:r>
      <w:r w:rsidRPr="000F5E73">
        <w:t xml:space="preserve">Flyern </w:t>
      </w:r>
      <w:r>
        <w:t>zur Veranstaltung</w:t>
      </w:r>
    </w:p>
    <w:p w14:paraId="29BD7367" w14:textId="77777777" w:rsidR="00F00B6D" w:rsidRDefault="00F00B6D" w:rsidP="00F00B6D">
      <w:pPr>
        <w:pStyle w:val="Listenabsatz"/>
        <w:numPr>
          <w:ilvl w:val="0"/>
          <w:numId w:val="10"/>
        </w:numPr>
      </w:pPr>
      <w:r>
        <w:t>ein Exemplar der Datenschutzerklärung sollte bei der Veranstaltungskoordination ausliegen</w:t>
      </w:r>
    </w:p>
    <w:p w14:paraId="13B1F581" w14:textId="49F6B2AE" w:rsidR="00F00B6D" w:rsidRDefault="007B1BCA" w:rsidP="006E4A68">
      <w:pPr>
        <w:pStyle w:val="Listenabsatz"/>
        <w:numPr>
          <w:ilvl w:val="0"/>
          <w:numId w:val="10"/>
        </w:numPr>
      </w:pPr>
      <w:r w:rsidRPr="0041323D">
        <w:t xml:space="preserve">einem Hinweis/Link bei </w:t>
      </w:r>
      <w:r w:rsidR="006A2298">
        <w:t>der Einladung zur Veranstaltung</w:t>
      </w:r>
    </w:p>
    <w:p w14:paraId="1BE006FB" w14:textId="2D23FF26" w:rsidR="0041323D" w:rsidRDefault="00A41B50" w:rsidP="006E4A68">
      <w:pPr>
        <w:pStyle w:val="Listenabsatz"/>
        <w:numPr>
          <w:ilvl w:val="0"/>
          <w:numId w:val="10"/>
        </w:numPr>
      </w:pPr>
      <w:r w:rsidRPr="00A41B50">
        <w:t xml:space="preserve">Um zu kennzeichnen, von welchen Personen eine Einwilligung vorliegt, können </w:t>
      </w:r>
      <w:r w:rsidR="007B1BCA">
        <w:t xml:space="preserve">beispielweise </w:t>
      </w:r>
      <w:r w:rsidRPr="00A41B50">
        <w:t xml:space="preserve">farbige Aufklebepunkte verteilt werden (großer grüner Punkt = Einwilligung liegt vor / kleiner roter Punkt = Keine Einwilligung bzw. Person will nicht </w:t>
      </w:r>
      <w:r w:rsidR="002E7EBB">
        <w:t>aufgenommen</w:t>
      </w:r>
      <w:r w:rsidRPr="00A41B50">
        <w:t xml:space="preserve"> werden). </w:t>
      </w:r>
      <w:r w:rsidR="00C645E1">
        <w:t xml:space="preserve">Die Punkte können bei Eintritt in den Veranstaltungssaal verteilt werden. </w:t>
      </w:r>
    </w:p>
    <w:p w14:paraId="7C789223" w14:textId="77777777" w:rsidR="004E6EC5" w:rsidRDefault="00A41B50" w:rsidP="00A41B50">
      <w:r>
        <w:t xml:space="preserve">Um zu verhindern, dass </w:t>
      </w:r>
      <w:r w:rsidR="004E6EC5">
        <w:t>Personen aufgenommen werden, die nicht eingewilligt haben, sollte</w:t>
      </w:r>
      <w:r w:rsidR="0042311B">
        <w:t>/</w:t>
      </w:r>
      <w:r w:rsidR="00B01FA7">
        <w:t>n</w:t>
      </w:r>
    </w:p>
    <w:p w14:paraId="388B4971" w14:textId="77777777" w:rsidR="00B01FA7" w:rsidRDefault="004E6EC5" w:rsidP="00B01FA7">
      <w:pPr>
        <w:pStyle w:val="Listenabsatz"/>
        <w:numPr>
          <w:ilvl w:val="0"/>
          <w:numId w:val="8"/>
        </w:numPr>
      </w:pPr>
      <w:r>
        <w:t>lediglich der unmittelbare Bühnen- bzw. Redebereich aufgenommen werden</w:t>
      </w:r>
      <w:r w:rsidR="00B01FA7">
        <w:t>.</w:t>
      </w:r>
      <w:r w:rsidR="00B01FA7" w:rsidRPr="00B01FA7">
        <w:t xml:space="preserve"> </w:t>
      </w:r>
      <w:r w:rsidR="00B01FA7">
        <w:t xml:space="preserve">Lassen es </w:t>
      </w:r>
      <w:r w:rsidR="00B01FA7" w:rsidRPr="00A41B50">
        <w:t>die örtlichen Gegebenheiten nicht zu nur die Funktionsträger abzulichten, so sollten Zonen eigerichtet werden, in denen sich Personen - ausschließlich mit Einwilligung – aufhalten.</w:t>
      </w:r>
      <w:r w:rsidR="00CF19D0">
        <w:t xml:space="preserve"> Informieren Sie vor der Aufnahme</w:t>
      </w:r>
      <w:r w:rsidR="00E06975">
        <w:t>, dass jetzt in der Aufnahmezone gefilmt/fotografiert wird, sodass unwillige Personen den Bereich verlassen können.</w:t>
      </w:r>
    </w:p>
    <w:p w14:paraId="528D5049" w14:textId="77777777" w:rsidR="00B01FA7" w:rsidRDefault="00B01FA7" w:rsidP="00B01FA7">
      <w:pPr>
        <w:pStyle w:val="Listenabsatz"/>
        <w:numPr>
          <w:ilvl w:val="0"/>
          <w:numId w:val="8"/>
        </w:numPr>
      </w:pPr>
      <w:r>
        <w:t xml:space="preserve">ausschließlich Nierenmikrofone verwendet werden, um Audioaufnahmen aus dem Publikum nicht mitzuschneiden. Die Fragen oder Beiträge aus dem Publikum sollten dabei vom Redner kurz wiederholt werden, um in die Aufnahme zu gelangen. </w:t>
      </w:r>
    </w:p>
    <w:p w14:paraId="124DF15D" w14:textId="77777777" w:rsidR="0041323D" w:rsidRDefault="0041323D" w:rsidP="00B17179">
      <w:pPr>
        <w:pStyle w:val="Listenabsatz"/>
        <w:numPr>
          <w:ilvl w:val="0"/>
          <w:numId w:val="8"/>
        </w:numPr>
      </w:pPr>
      <w:r>
        <w:t>unbeabsichtigt aufgenommene Personen (bei denen keine Einwilligung vorlieg</w:t>
      </w:r>
      <w:r w:rsidR="00D8082D">
        <w:t>en</w:t>
      </w:r>
      <w:r>
        <w:t xml:space="preserve">) </w:t>
      </w:r>
      <w:r w:rsidR="00BA3E2B">
        <w:t>im</w:t>
      </w:r>
      <w:r w:rsidR="007B1BCA">
        <w:t>-</w:t>
      </w:r>
      <w:r w:rsidR="00BA3E2B">
        <w:t xml:space="preserve"> Nachgang durch </w:t>
      </w:r>
      <w:r w:rsidR="00C645E1">
        <w:t>Maßnahmen</w:t>
      </w:r>
      <w:r w:rsidR="00BA3E2B">
        <w:t xml:space="preserve"> zu</w:t>
      </w:r>
      <w:r w:rsidR="00C15ADA">
        <w:t>r</w:t>
      </w:r>
      <w:r w:rsidR="00BA3E2B">
        <w:t xml:space="preserve"> A</w:t>
      </w:r>
      <w:r>
        <w:t xml:space="preserve">nonymisierung (z.B. </w:t>
      </w:r>
      <w:proofErr w:type="spellStart"/>
      <w:r>
        <w:t>Verpixeln</w:t>
      </w:r>
      <w:proofErr w:type="spellEnd"/>
      <w:r>
        <w:t xml:space="preserve">, Herausschneiden, Löschen des </w:t>
      </w:r>
      <w:proofErr w:type="spellStart"/>
      <w:r>
        <w:t>Audiostreams</w:t>
      </w:r>
      <w:proofErr w:type="spellEnd"/>
      <w:r>
        <w:t xml:space="preserve"> und Untertitelung von Audiobeiträgen</w:t>
      </w:r>
      <w:r w:rsidR="00263EBE">
        <w:t xml:space="preserve"> in den Rohdaten </w:t>
      </w:r>
      <w:r w:rsidR="00263EBE" w:rsidRPr="00263EBE">
        <w:rPr>
          <w:b/>
        </w:rPr>
        <w:t>und</w:t>
      </w:r>
      <w:r w:rsidR="00263EBE">
        <w:t xml:space="preserve"> dem veröffentlichten Bildmaterial unkenntlich </w:t>
      </w:r>
      <w:r w:rsidR="00D8082D">
        <w:t>machen</w:t>
      </w:r>
      <w:r w:rsidR="00C15ADA">
        <w:t>)</w:t>
      </w:r>
      <w:r w:rsidR="00C645E1">
        <w:t>.</w:t>
      </w:r>
    </w:p>
    <w:p w14:paraId="42A28DA5" w14:textId="5A81D0B7" w:rsidR="00D96352" w:rsidRDefault="00D96352" w:rsidP="00D96352"/>
    <w:p w14:paraId="4130EC33" w14:textId="0CE233B4" w:rsidR="001963A1" w:rsidRDefault="001963A1" w:rsidP="00D96352"/>
    <w:p w14:paraId="5CE62554" w14:textId="77777777" w:rsidR="001963A1" w:rsidRDefault="001963A1" w:rsidP="00D96352"/>
    <w:p w14:paraId="7120DE16" w14:textId="77777777" w:rsidR="00D96352" w:rsidRDefault="00D96352" w:rsidP="00D96352"/>
    <w:p w14:paraId="14F4E875" w14:textId="77777777" w:rsidR="004E6EC5" w:rsidRDefault="00B17179" w:rsidP="0067386E">
      <w:pPr>
        <w:pStyle w:val="Listenabsatz"/>
        <w:ind w:left="1480"/>
      </w:pPr>
      <w:r w:rsidRPr="00B17179">
        <w:lastRenderedPageBreak/>
        <w:t xml:space="preserve"> </w:t>
      </w:r>
      <w:r w:rsidR="00B01FA7" w:rsidRPr="00B01FA7">
        <w:t xml:space="preserve"> </w:t>
      </w:r>
    </w:p>
    <w:p w14:paraId="12868ABA" w14:textId="77777777" w:rsidR="007054F5" w:rsidRPr="00FF5695" w:rsidRDefault="00FF5695" w:rsidP="001541C5">
      <w:pPr>
        <w:pStyle w:val="Listenabsatz"/>
        <w:numPr>
          <w:ilvl w:val="0"/>
          <w:numId w:val="15"/>
        </w:numPr>
        <w:rPr>
          <w:b/>
        </w:rPr>
      </w:pPr>
      <w:r w:rsidRPr="00FF5695">
        <w:rPr>
          <w:b/>
        </w:rPr>
        <w:t>Muster und Vorlagen</w:t>
      </w:r>
    </w:p>
    <w:p w14:paraId="4E84BA37" w14:textId="5B87DF3C" w:rsidR="007054F5" w:rsidRDefault="00FF5695" w:rsidP="007054F5">
      <w:r>
        <w:t>Im Folgenden bekommen Sie e</w:t>
      </w:r>
      <w:r w:rsidR="007054F5">
        <w:t xml:space="preserve">in Muster zur </w:t>
      </w:r>
      <w:r w:rsidR="004864BA">
        <w:t xml:space="preserve">Einwilligung und für entsprechende Aushänge im Veranstaltungssaal zur </w:t>
      </w:r>
      <w:r w:rsidR="007054F5">
        <w:t>Verfügung gestellt</w:t>
      </w:r>
      <w:r w:rsidR="004864BA">
        <w:t>. Diese sind</w:t>
      </w:r>
      <w:r>
        <w:t xml:space="preserve"> jedoch nicht allgemein gültig</w:t>
      </w:r>
      <w:r w:rsidR="007054F5">
        <w:t>,</w:t>
      </w:r>
      <w:r>
        <w:t xml:space="preserve"> sondern m</w:t>
      </w:r>
      <w:r w:rsidR="004864BA">
        <w:t>üssen</w:t>
      </w:r>
      <w:r w:rsidR="007054F5">
        <w:t xml:space="preserve"> immer auf die konkreten Umstände </w:t>
      </w:r>
      <w:r>
        <w:t>angepasst werden.</w:t>
      </w:r>
      <w:r w:rsidR="007054F5">
        <w:t xml:space="preserve"> </w:t>
      </w:r>
    </w:p>
    <w:p w14:paraId="068BE8E0" w14:textId="77777777" w:rsidR="00AC0D42" w:rsidRDefault="00AC0D42" w:rsidP="007054F5"/>
    <w:tbl>
      <w:tblPr>
        <w:tblStyle w:val="Tabellenraster2"/>
        <w:tblW w:w="6920" w:type="dxa"/>
        <w:tblInd w:w="-289" w:type="dxa"/>
        <w:tblLook w:val="04A0" w:firstRow="1" w:lastRow="0" w:firstColumn="1" w:lastColumn="0" w:noHBand="0" w:noVBand="1"/>
      </w:tblPr>
      <w:tblGrid>
        <w:gridCol w:w="2411"/>
        <w:gridCol w:w="2245"/>
        <w:gridCol w:w="2264"/>
      </w:tblGrid>
      <w:tr w:rsidR="00A90D4D" w:rsidRPr="00AC0D42" w14:paraId="1654310C" w14:textId="77777777" w:rsidTr="00A90D4D">
        <w:tc>
          <w:tcPr>
            <w:tcW w:w="2411" w:type="dxa"/>
            <w:shd w:val="clear" w:color="auto" w:fill="auto"/>
          </w:tcPr>
          <w:p w14:paraId="2BAEEEB8" w14:textId="77777777" w:rsidR="00A90D4D" w:rsidRPr="00AC0D42" w:rsidRDefault="00A90D4D" w:rsidP="00AC0D42">
            <w:pPr>
              <w:ind w:left="0"/>
              <w:jc w:val="center"/>
              <w:rPr>
                <w:rFonts w:eastAsia="Calibri"/>
                <w:b/>
                <w:sz w:val="16"/>
                <w:szCs w:val="16"/>
              </w:rPr>
            </w:pPr>
            <w:r w:rsidRPr="00AC0D42">
              <w:rPr>
                <w:rFonts w:eastAsia="Calibri"/>
                <w:b/>
                <w:sz w:val="16"/>
                <w:szCs w:val="16"/>
              </w:rPr>
              <w:t>Vorlage Einwilligung und Datenschutzerklärung</w:t>
            </w:r>
          </w:p>
          <w:p w14:paraId="7108DAE3" w14:textId="77777777" w:rsidR="00A90D4D" w:rsidRPr="00AC0D42" w:rsidRDefault="00A90D4D" w:rsidP="00AC0D42">
            <w:pPr>
              <w:ind w:left="0"/>
              <w:jc w:val="center"/>
              <w:rPr>
                <w:rFonts w:eastAsia="Calibri"/>
                <w:b/>
                <w:sz w:val="16"/>
                <w:szCs w:val="16"/>
              </w:rPr>
            </w:pPr>
            <w:r w:rsidRPr="00AC0D42">
              <w:rPr>
                <w:rFonts w:eastAsia="Calibri"/>
                <w:b/>
                <w:sz w:val="16"/>
                <w:szCs w:val="16"/>
              </w:rPr>
              <w:t>Fotoaufnahmen</w:t>
            </w:r>
          </w:p>
        </w:tc>
        <w:tc>
          <w:tcPr>
            <w:tcW w:w="2245" w:type="dxa"/>
            <w:shd w:val="clear" w:color="auto" w:fill="auto"/>
          </w:tcPr>
          <w:p w14:paraId="2FB48BBF" w14:textId="77777777" w:rsidR="00A90D4D" w:rsidRPr="00AC0D42" w:rsidRDefault="00A90D4D" w:rsidP="00AC0D42">
            <w:pPr>
              <w:ind w:left="0"/>
              <w:jc w:val="center"/>
              <w:rPr>
                <w:rFonts w:eastAsia="Calibri"/>
                <w:b/>
                <w:sz w:val="16"/>
                <w:szCs w:val="16"/>
              </w:rPr>
            </w:pPr>
            <w:r w:rsidRPr="00AC0D42">
              <w:rPr>
                <w:rFonts w:eastAsia="Calibri"/>
                <w:b/>
                <w:sz w:val="16"/>
                <w:szCs w:val="16"/>
              </w:rPr>
              <w:t>Vorlage Aushang am Eingang</w:t>
            </w:r>
          </w:p>
        </w:tc>
        <w:tc>
          <w:tcPr>
            <w:tcW w:w="2264" w:type="dxa"/>
            <w:shd w:val="clear" w:color="auto" w:fill="auto"/>
          </w:tcPr>
          <w:p w14:paraId="3C61FDD9" w14:textId="77777777" w:rsidR="00A90D4D" w:rsidRPr="00AC0D42" w:rsidRDefault="00A90D4D" w:rsidP="00AC0D42">
            <w:pPr>
              <w:ind w:left="0"/>
              <w:jc w:val="center"/>
              <w:rPr>
                <w:rFonts w:eastAsia="Calibri"/>
                <w:b/>
                <w:sz w:val="16"/>
                <w:szCs w:val="16"/>
              </w:rPr>
            </w:pPr>
            <w:r w:rsidRPr="00AC0D42">
              <w:rPr>
                <w:rFonts w:eastAsia="Calibri"/>
                <w:b/>
                <w:sz w:val="16"/>
                <w:szCs w:val="16"/>
              </w:rPr>
              <w:t>Vorlage Aushang innerhalb des Veranstaltungssaales</w:t>
            </w:r>
            <w:bookmarkStart w:id="0" w:name="_MON_1662362412"/>
            <w:bookmarkEnd w:id="0"/>
            <w:r w:rsidRPr="00AC0D42">
              <w:rPr>
                <w:rFonts w:eastAsia="Calibri"/>
              </w:rPr>
              <w:t xml:space="preserve"> </w:t>
            </w:r>
            <w:r w:rsidRPr="00AC0D42">
              <w:rPr>
                <w:rFonts w:eastAsia="Calibri"/>
                <w:b/>
                <w:sz w:val="16"/>
                <w:szCs w:val="16"/>
              </w:rPr>
              <w:t>Deutsch-Englisch</w:t>
            </w:r>
          </w:p>
        </w:tc>
      </w:tr>
      <w:bookmarkStart w:id="1" w:name="_MON_1665312321"/>
      <w:bookmarkEnd w:id="1"/>
      <w:tr w:rsidR="00A90D4D" w:rsidRPr="00AC0D42" w14:paraId="6849B17E" w14:textId="77777777" w:rsidTr="00A90D4D">
        <w:tc>
          <w:tcPr>
            <w:tcW w:w="2411" w:type="dxa"/>
            <w:shd w:val="clear" w:color="auto" w:fill="auto"/>
          </w:tcPr>
          <w:p w14:paraId="36EA4A37" w14:textId="4D80B45F" w:rsidR="00A90D4D" w:rsidRPr="00AC0D42" w:rsidRDefault="004B34EC" w:rsidP="00AC0D42">
            <w:pPr>
              <w:ind w:left="0"/>
              <w:jc w:val="center"/>
              <w:rPr>
                <w:rFonts w:eastAsia="Calibri"/>
                <w:b/>
                <w:sz w:val="16"/>
                <w:szCs w:val="16"/>
              </w:rPr>
            </w:pPr>
            <w:r w:rsidRPr="00AC0D42">
              <w:rPr>
                <w:rFonts w:eastAsia="Calibri"/>
                <w:b/>
                <w:sz w:val="16"/>
                <w:szCs w:val="16"/>
              </w:rPr>
              <w:object w:dxaOrig="1530" w:dyaOrig="996" w14:anchorId="0562DB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0" o:title=""/>
                </v:shape>
                <o:OLEObject Type="Embed" ProgID="Word.Document.12" ShapeID="_x0000_i1025" DrawAspect="Icon" ObjectID="_1788845247" r:id="rId11">
                  <o:FieldCodes>\s</o:FieldCodes>
                </o:OLEObject>
              </w:object>
            </w:r>
          </w:p>
        </w:tc>
        <w:bookmarkStart w:id="2" w:name="_MON_1665312509"/>
        <w:bookmarkEnd w:id="2"/>
        <w:tc>
          <w:tcPr>
            <w:tcW w:w="2245" w:type="dxa"/>
            <w:vMerge w:val="restart"/>
            <w:shd w:val="clear" w:color="auto" w:fill="auto"/>
          </w:tcPr>
          <w:p w14:paraId="5C8E64B9" w14:textId="47F284BD" w:rsidR="00A90D4D" w:rsidRPr="00AC0D42" w:rsidRDefault="008E53BD" w:rsidP="00AC0D42">
            <w:pPr>
              <w:ind w:left="0"/>
              <w:jc w:val="center"/>
              <w:rPr>
                <w:rFonts w:eastAsia="Calibri"/>
                <w:b/>
                <w:sz w:val="16"/>
                <w:szCs w:val="16"/>
              </w:rPr>
            </w:pPr>
            <w:r w:rsidRPr="00AC0D42">
              <w:rPr>
                <w:rFonts w:eastAsia="Calibri"/>
              </w:rPr>
              <w:object w:dxaOrig="1596" w:dyaOrig="1011" w14:anchorId="497A7B06">
                <v:shape id="_x0000_i1033" type="#_x0000_t75" style="width:79.5pt;height:50.25pt" o:ole="">
                  <v:imagedata r:id="rId12" o:title=""/>
                </v:shape>
                <o:OLEObject Type="Embed" ProgID="Word.Document.12" ShapeID="_x0000_i1033" DrawAspect="Icon" ObjectID="_1788845248" r:id="rId13">
                  <o:FieldCodes>\s</o:FieldCodes>
                </o:OLEObject>
              </w:object>
            </w:r>
          </w:p>
        </w:tc>
        <w:bookmarkStart w:id="3" w:name="_MON_1665304533"/>
        <w:bookmarkEnd w:id="3"/>
        <w:tc>
          <w:tcPr>
            <w:tcW w:w="2264" w:type="dxa"/>
            <w:shd w:val="clear" w:color="auto" w:fill="auto"/>
          </w:tcPr>
          <w:p w14:paraId="5DBAF4AE" w14:textId="77777777" w:rsidR="00A90D4D" w:rsidRPr="00AC0D42" w:rsidRDefault="00A90D4D" w:rsidP="00AC0D42">
            <w:pPr>
              <w:ind w:left="0"/>
              <w:jc w:val="center"/>
              <w:rPr>
                <w:rFonts w:eastAsia="Calibri"/>
                <w:b/>
                <w:sz w:val="16"/>
                <w:szCs w:val="16"/>
              </w:rPr>
            </w:pPr>
            <w:r w:rsidRPr="00AC0D42">
              <w:rPr>
                <w:rFonts w:eastAsia="Calibri"/>
              </w:rPr>
              <w:object w:dxaOrig="1596" w:dyaOrig="1011" w14:anchorId="7ACE625A">
                <v:shape id="_x0000_i1027" style="width:75pt;height:48.75pt" coordsize="" o:spt="100" adj="0,,0" path="" stroked="f">
                  <v:stroke joinstyle="miter"/>
                  <v:imagedata r:id="rId14" o:title=""/>
                  <v:formulas/>
                  <v:path o:connecttype="segments"/>
                </v:shape>
                <o:OLEObject Type="Embed" ProgID="Word.Document.12" ShapeID="_x0000_i1027" DrawAspect="Icon" ObjectID="_1788845249" r:id="rId15"/>
              </w:object>
            </w:r>
          </w:p>
        </w:tc>
      </w:tr>
      <w:bookmarkStart w:id="4" w:name="_MON_1665311695"/>
      <w:bookmarkEnd w:id="4"/>
      <w:tr w:rsidR="00A90D4D" w:rsidRPr="00AC0D42" w14:paraId="2556C850" w14:textId="77777777" w:rsidTr="00A90D4D">
        <w:tc>
          <w:tcPr>
            <w:tcW w:w="2411" w:type="dxa"/>
            <w:vMerge w:val="restart"/>
            <w:shd w:val="clear" w:color="auto" w:fill="auto"/>
          </w:tcPr>
          <w:p w14:paraId="6E2B1965" w14:textId="52042F48" w:rsidR="00A90D4D" w:rsidRPr="00AC0D42" w:rsidRDefault="00A90D4D" w:rsidP="00AC0D42">
            <w:pPr>
              <w:ind w:left="0"/>
              <w:jc w:val="center"/>
              <w:rPr>
                <w:rFonts w:eastAsia="Calibri"/>
                <w:b/>
                <w:sz w:val="16"/>
                <w:szCs w:val="16"/>
              </w:rPr>
            </w:pPr>
            <w:r w:rsidRPr="00AC0D42">
              <w:rPr>
                <w:rFonts w:eastAsia="Calibri"/>
                <w:b/>
                <w:sz w:val="16"/>
                <w:szCs w:val="16"/>
              </w:rPr>
              <w:object w:dxaOrig="1530" w:dyaOrig="996" w14:anchorId="5AA01A58">
                <v:shape id="_x0000_i1028" type="#_x0000_t75" style="width:76.5pt;height:50.25pt" o:ole="">
                  <v:imagedata r:id="rId16" o:title=""/>
                </v:shape>
                <o:OLEObject Type="Embed" ProgID="Word.Document.12" ShapeID="_x0000_i1028" DrawAspect="Icon" ObjectID="_1788845250" r:id="rId17">
                  <o:FieldCodes>\s</o:FieldCodes>
                </o:OLEObject>
              </w:object>
            </w:r>
          </w:p>
        </w:tc>
        <w:tc>
          <w:tcPr>
            <w:tcW w:w="2245" w:type="dxa"/>
            <w:vMerge/>
            <w:shd w:val="clear" w:color="auto" w:fill="auto"/>
          </w:tcPr>
          <w:p w14:paraId="16B9E0CE" w14:textId="77777777" w:rsidR="00A90D4D" w:rsidRPr="00AC0D42" w:rsidRDefault="00A90D4D" w:rsidP="00AC0D42">
            <w:pPr>
              <w:ind w:left="0"/>
              <w:jc w:val="center"/>
              <w:rPr>
                <w:rFonts w:eastAsia="Calibri"/>
                <w:b/>
                <w:sz w:val="16"/>
                <w:szCs w:val="16"/>
              </w:rPr>
            </w:pPr>
          </w:p>
        </w:tc>
        <w:tc>
          <w:tcPr>
            <w:tcW w:w="2264" w:type="dxa"/>
            <w:shd w:val="clear" w:color="auto" w:fill="auto"/>
          </w:tcPr>
          <w:p w14:paraId="73F1FBD3" w14:textId="77777777" w:rsidR="00A90D4D" w:rsidRPr="00AC0D42" w:rsidRDefault="00A90D4D" w:rsidP="00AC0D42">
            <w:pPr>
              <w:ind w:left="0"/>
              <w:jc w:val="center"/>
              <w:rPr>
                <w:rFonts w:eastAsia="Calibri"/>
                <w:b/>
                <w:sz w:val="16"/>
                <w:szCs w:val="16"/>
              </w:rPr>
            </w:pPr>
            <w:r w:rsidRPr="00AC0D42">
              <w:rPr>
                <w:rFonts w:eastAsia="Calibri"/>
                <w:b/>
                <w:sz w:val="16"/>
                <w:szCs w:val="16"/>
              </w:rPr>
              <w:t>Vorlage Vertrag zur Auftragsverarbeitung</w:t>
            </w:r>
          </w:p>
        </w:tc>
      </w:tr>
      <w:tr w:rsidR="00A90D4D" w:rsidRPr="00AC0D42" w14:paraId="4CD0DD0B" w14:textId="77777777" w:rsidTr="00A90D4D">
        <w:tc>
          <w:tcPr>
            <w:tcW w:w="2411" w:type="dxa"/>
            <w:vMerge/>
            <w:shd w:val="clear" w:color="auto" w:fill="auto"/>
          </w:tcPr>
          <w:p w14:paraId="0D4F65E1" w14:textId="77777777" w:rsidR="00A90D4D" w:rsidRPr="00AC0D42" w:rsidRDefault="00A90D4D" w:rsidP="00AC0D42">
            <w:pPr>
              <w:ind w:left="0"/>
              <w:jc w:val="center"/>
              <w:rPr>
                <w:rFonts w:eastAsia="Calibri"/>
              </w:rPr>
            </w:pPr>
            <w:bookmarkStart w:id="5" w:name="_MON_1663593397"/>
            <w:bookmarkEnd w:id="5"/>
          </w:p>
        </w:tc>
        <w:tc>
          <w:tcPr>
            <w:tcW w:w="2245" w:type="dxa"/>
            <w:vMerge/>
            <w:shd w:val="clear" w:color="auto" w:fill="auto"/>
          </w:tcPr>
          <w:p w14:paraId="4B6A93C3" w14:textId="77777777" w:rsidR="00A90D4D" w:rsidRPr="00AC0D42" w:rsidRDefault="00A90D4D" w:rsidP="00AC0D42">
            <w:pPr>
              <w:ind w:left="0"/>
              <w:jc w:val="center"/>
              <w:rPr>
                <w:rFonts w:eastAsia="Calibri"/>
              </w:rPr>
            </w:pPr>
            <w:bookmarkStart w:id="6" w:name="_MON_1662362585"/>
            <w:bookmarkStart w:id="7" w:name="_MON_1662305269"/>
            <w:bookmarkEnd w:id="6"/>
            <w:bookmarkEnd w:id="7"/>
          </w:p>
        </w:tc>
        <w:bookmarkStart w:id="8" w:name="_MON_1662362420"/>
        <w:bookmarkEnd w:id="8"/>
        <w:tc>
          <w:tcPr>
            <w:tcW w:w="2264" w:type="dxa"/>
            <w:shd w:val="clear" w:color="auto" w:fill="auto"/>
          </w:tcPr>
          <w:p w14:paraId="52B38A63" w14:textId="77777777" w:rsidR="00A90D4D" w:rsidRPr="00AC0D42" w:rsidRDefault="00A90D4D" w:rsidP="00AC0D42">
            <w:pPr>
              <w:ind w:left="0"/>
              <w:jc w:val="center"/>
              <w:rPr>
                <w:rFonts w:eastAsia="Calibri"/>
              </w:rPr>
            </w:pPr>
            <w:r w:rsidRPr="00AC0D42">
              <w:rPr>
                <w:rFonts w:eastAsia="Calibri"/>
              </w:rPr>
              <w:object w:dxaOrig="1530" w:dyaOrig="996" w14:anchorId="12B23C4E">
                <v:shape id="_x0000_i1029" type="#_x0000_t75" style="width:75.75pt;height:49.5pt" o:ole="">
                  <v:imagedata r:id="rId18" o:title=""/>
                </v:shape>
                <o:OLEObject Type="Embed" ProgID="Word.Document.12" ShapeID="_x0000_i1029" DrawAspect="Icon" ObjectID="_1788845251" r:id="rId19">
                  <o:FieldCodes>\s</o:FieldCodes>
                </o:OLEObject>
              </w:object>
            </w:r>
          </w:p>
        </w:tc>
      </w:tr>
    </w:tbl>
    <w:p w14:paraId="03BCCA1D" w14:textId="77777777" w:rsidR="00AC0D42" w:rsidRPr="00AC0D42" w:rsidRDefault="00AC0D42" w:rsidP="00AC0D42">
      <w:pPr>
        <w:rPr>
          <w:rFonts w:eastAsia="Calibri"/>
        </w:rPr>
      </w:pPr>
    </w:p>
    <w:tbl>
      <w:tblPr>
        <w:tblStyle w:val="Tabellenraster2"/>
        <w:tblW w:w="0" w:type="auto"/>
        <w:tblInd w:w="-289" w:type="dxa"/>
        <w:tblLook w:val="04A0" w:firstRow="1" w:lastRow="0" w:firstColumn="1" w:lastColumn="0" w:noHBand="0" w:noVBand="1"/>
      </w:tblPr>
      <w:tblGrid>
        <w:gridCol w:w="2411"/>
        <w:gridCol w:w="2409"/>
      </w:tblGrid>
      <w:tr w:rsidR="001B6128" w:rsidRPr="00AC0D42" w14:paraId="28B66C80" w14:textId="77777777" w:rsidTr="00D14401">
        <w:tc>
          <w:tcPr>
            <w:tcW w:w="2411" w:type="dxa"/>
          </w:tcPr>
          <w:p w14:paraId="7CA26936" w14:textId="77777777" w:rsidR="001B6128" w:rsidRPr="00AC0D42" w:rsidRDefault="001B6128" w:rsidP="00AC0D42">
            <w:pPr>
              <w:ind w:left="0"/>
              <w:jc w:val="center"/>
              <w:rPr>
                <w:rFonts w:eastAsia="Calibri"/>
              </w:rPr>
            </w:pPr>
            <w:r w:rsidRPr="00AC0D42">
              <w:rPr>
                <w:rFonts w:eastAsia="Calibri"/>
                <w:b/>
                <w:sz w:val="16"/>
                <w:szCs w:val="16"/>
              </w:rPr>
              <w:t>Vorlage Einwilligung und Datenschutzerklärung in englischer Sprache</w:t>
            </w:r>
          </w:p>
        </w:tc>
        <w:tc>
          <w:tcPr>
            <w:tcW w:w="2409" w:type="dxa"/>
          </w:tcPr>
          <w:p w14:paraId="7DAB4309" w14:textId="77777777" w:rsidR="001B6128" w:rsidRPr="00AC0D42" w:rsidRDefault="001B6128" w:rsidP="00AC0D42">
            <w:pPr>
              <w:ind w:left="0"/>
              <w:rPr>
                <w:rFonts w:eastAsia="Calibri"/>
              </w:rPr>
            </w:pPr>
            <w:r w:rsidRPr="00AC0D42">
              <w:rPr>
                <w:rFonts w:eastAsia="Calibri"/>
                <w:b/>
                <w:sz w:val="16"/>
                <w:szCs w:val="16"/>
              </w:rPr>
              <w:t>Vorlage Aushang am Eingang in englischer Sprache</w:t>
            </w:r>
          </w:p>
        </w:tc>
      </w:tr>
      <w:bookmarkStart w:id="9" w:name="_MON_1665314780"/>
      <w:bookmarkEnd w:id="9"/>
      <w:tr w:rsidR="001B6128" w:rsidRPr="00AC0D42" w14:paraId="033B22B4" w14:textId="77777777" w:rsidTr="00D14401">
        <w:tc>
          <w:tcPr>
            <w:tcW w:w="2411" w:type="dxa"/>
          </w:tcPr>
          <w:p w14:paraId="796D302E" w14:textId="4F1836F5" w:rsidR="001B6128" w:rsidRPr="00AC0D42" w:rsidRDefault="008E53BD" w:rsidP="00AC0D42">
            <w:pPr>
              <w:ind w:left="0"/>
              <w:rPr>
                <w:rFonts w:eastAsia="Calibri"/>
              </w:rPr>
            </w:pPr>
            <w:r w:rsidRPr="00AC0D42">
              <w:rPr>
                <w:rFonts w:eastAsia="Calibri"/>
              </w:rPr>
              <w:object w:dxaOrig="1596" w:dyaOrig="1011" w14:anchorId="5AC0314F">
                <v:shape id="_x0000_i1035" type="#_x0000_t75" style="width:79.5pt;height:50.25pt" o:ole="">
                  <v:imagedata r:id="rId20" o:title=""/>
                </v:shape>
                <o:OLEObject Type="Embed" ProgID="Word.Document.12" ShapeID="_x0000_i1035" DrawAspect="Icon" ObjectID="_1788845252" r:id="rId21">
                  <o:FieldCodes>\s</o:FieldCodes>
                </o:OLEObject>
              </w:object>
            </w:r>
          </w:p>
        </w:tc>
        <w:bookmarkStart w:id="10" w:name="_MON_1665315084"/>
        <w:bookmarkEnd w:id="10"/>
        <w:tc>
          <w:tcPr>
            <w:tcW w:w="2409" w:type="dxa"/>
          </w:tcPr>
          <w:p w14:paraId="6CDE5210" w14:textId="0898D754" w:rsidR="001B6128" w:rsidRPr="00AC0D42" w:rsidRDefault="008E53BD" w:rsidP="00AC0D42">
            <w:pPr>
              <w:ind w:left="0"/>
              <w:rPr>
                <w:rFonts w:eastAsia="Calibri"/>
              </w:rPr>
            </w:pPr>
            <w:r w:rsidRPr="00AC0D42">
              <w:rPr>
                <w:rFonts w:eastAsia="Calibri"/>
              </w:rPr>
              <w:object w:dxaOrig="1596" w:dyaOrig="1011" w14:anchorId="1A308DA7">
                <v:shape id="_x0000_i1037" type="#_x0000_t75" style="width:79.5pt;height:50.25pt" o:ole="">
                  <v:imagedata r:id="rId22" o:title=""/>
                </v:shape>
                <o:OLEObject Type="Embed" ProgID="Word.Document.12" ShapeID="_x0000_i1037" DrawAspect="Icon" ObjectID="_1788845253" r:id="rId23">
                  <o:FieldCodes>\s</o:FieldCodes>
                </o:OLEObject>
              </w:object>
            </w:r>
          </w:p>
        </w:tc>
      </w:tr>
    </w:tbl>
    <w:p w14:paraId="464AE0DB" w14:textId="77777777" w:rsidR="00516792" w:rsidRDefault="00516792" w:rsidP="007054F5"/>
    <w:p w14:paraId="41A10926" w14:textId="77777777" w:rsidR="00EC560C" w:rsidRDefault="00DE4A20" w:rsidP="00E80CCF">
      <w:pPr>
        <w:ind w:left="0" w:firstLine="708"/>
      </w:pPr>
      <w:r>
        <w:tab/>
      </w:r>
    </w:p>
    <w:p w14:paraId="11770A1C" w14:textId="77777777" w:rsidR="00BF68C2" w:rsidRDefault="00BF68C2" w:rsidP="00E80CCF">
      <w:pPr>
        <w:ind w:left="0" w:firstLine="708"/>
      </w:pPr>
      <w:bookmarkStart w:id="11" w:name="_GoBack"/>
      <w:bookmarkEnd w:id="11"/>
    </w:p>
    <w:sectPr w:rsidR="00BF68C2" w:rsidSect="00FE53C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8437A7" w14:textId="77777777" w:rsidR="000855E5" w:rsidRDefault="000855E5" w:rsidP="007054F5">
      <w:pPr>
        <w:spacing w:after="0" w:line="240" w:lineRule="auto"/>
      </w:pPr>
      <w:r>
        <w:separator/>
      </w:r>
    </w:p>
  </w:endnote>
  <w:endnote w:type="continuationSeparator" w:id="0">
    <w:p w14:paraId="322B7751" w14:textId="77777777" w:rsidR="000855E5" w:rsidRDefault="000855E5" w:rsidP="00705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E1A9C" w14:textId="77777777" w:rsidR="000855E5" w:rsidRDefault="000855E5" w:rsidP="007054F5">
      <w:pPr>
        <w:spacing w:after="0" w:line="240" w:lineRule="auto"/>
      </w:pPr>
      <w:r>
        <w:separator/>
      </w:r>
    </w:p>
  </w:footnote>
  <w:footnote w:type="continuationSeparator" w:id="0">
    <w:p w14:paraId="18BB91D0" w14:textId="77777777" w:rsidR="000855E5" w:rsidRDefault="000855E5" w:rsidP="007054F5">
      <w:pPr>
        <w:spacing w:after="0" w:line="240" w:lineRule="auto"/>
      </w:pPr>
      <w:r>
        <w:continuationSeparator/>
      </w:r>
    </w:p>
  </w:footnote>
  <w:footnote w:id="1">
    <w:p w14:paraId="78802A9D" w14:textId="5C4A4898" w:rsidR="00753832" w:rsidRDefault="00753832">
      <w:pPr>
        <w:pStyle w:val="Funotentext"/>
      </w:pPr>
      <w:r>
        <w:rPr>
          <w:rStyle w:val="Funotenzeichen"/>
        </w:rPr>
        <w:footnoteRef/>
      </w:r>
      <w:r>
        <w:t xml:space="preserve"> Social Media zählt nicht zu den Medien der Hochschule. Auf Social Media ist immer eine Einwilligung notwendig.</w:t>
      </w:r>
    </w:p>
  </w:footnote>
  <w:footnote w:id="2">
    <w:p w14:paraId="3F566DD1" w14:textId="5F026772" w:rsidR="00B91544" w:rsidRDefault="00B91544">
      <w:pPr>
        <w:pStyle w:val="Funotentext"/>
      </w:pPr>
      <w:r>
        <w:rPr>
          <w:rStyle w:val="Funotenzeichen"/>
        </w:rPr>
        <w:footnoteRef/>
      </w:r>
      <w:r>
        <w:t xml:space="preserve"> </w:t>
      </w:r>
      <w:r w:rsidRPr="00B91544">
        <w:t>Lehrbeauftragte, externe Referenten</w:t>
      </w:r>
      <w:r>
        <w:t>, Beschäftigte ohne Leitungsfunktion oder Studierende zählen nicht zu dieser Gruppe</w:t>
      </w:r>
      <w:r w:rsidR="00C34EA2">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C03DA" w14:textId="77777777" w:rsidR="002735B9" w:rsidRPr="00E87FDD" w:rsidRDefault="002735B9" w:rsidP="00E87FDD">
    <w:pPr>
      <w:pStyle w:val="Kopfzeile"/>
      <w:tabs>
        <w:tab w:val="clear" w:pos="4536"/>
        <w:tab w:val="clear" w:pos="9072"/>
        <w:tab w:val="center" w:pos="4890"/>
      </w:tabs>
      <w:rPr>
        <w:b/>
      </w:rPr>
    </w:pPr>
    <w:r w:rsidRPr="00E87FDD">
      <w:rPr>
        <w:b/>
        <w:noProof/>
        <w:lang w:eastAsia="de-DE"/>
      </w:rPr>
      <w:drawing>
        <wp:inline distT="0" distB="0" distL="0" distR="0" wp14:anchorId="79EB9900" wp14:editId="5E599713">
          <wp:extent cx="2048510" cy="467995"/>
          <wp:effectExtent l="0" t="0" r="8890" b="8255"/>
          <wp:docPr id="1" name="Grafik 1" descr="C:\Users\hafner\AppData\Local\Microsoft\Windows\INetCache\Content.Word\Logo-farbig-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fner\AppData\Local\Microsoft\Windows\INetCache\Content.Word\Logo-farbig-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467995"/>
                  </a:xfrm>
                  <a:prstGeom prst="rect">
                    <a:avLst/>
                  </a:prstGeom>
                  <a:noFill/>
                  <a:ln>
                    <a:noFill/>
                  </a:ln>
                </pic:spPr>
              </pic:pic>
            </a:graphicData>
          </a:graphic>
        </wp:inline>
      </w:drawing>
    </w:r>
    <w:r w:rsidR="00E87FDD" w:rsidRPr="00E87FDD">
      <w:rPr>
        <w:b/>
      </w:rPr>
      <w:tab/>
    </w:r>
    <w:r w:rsidR="00E87FDD" w:rsidRPr="00E87FDD">
      <w:rPr>
        <w:b/>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82553"/>
    <w:multiLevelType w:val="hybridMultilevel"/>
    <w:tmpl w:val="ACACCED8"/>
    <w:lvl w:ilvl="0" w:tplc="DFF0B468">
      <w:start w:val="5"/>
      <w:numFmt w:val="bullet"/>
      <w:lvlText w:val="-"/>
      <w:lvlJc w:val="left"/>
      <w:pPr>
        <w:ind w:left="345" w:hanging="360"/>
      </w:pPr>
      <w:rPr>
        <w:rFonts w:ascii="Arial" w:eastAsia="Arial" w:hAnsi="Arial" w:cs="Arial" w:hint="default"/>
      </w:rPr>
    </w:lvl>
    <w:lvl w:ilvl="1" w:tplc="04070003">
      <w:start w:val="1"/>
      <w:numFmt w:val="bullet"/>
      <w:lvlText w:val="o"/>
      <w:lvlJc w:val="left"/>
      <w:pPr>
        <w:ind w:left="1065" w:hanging="360"/>
      </w:pPr>
      <w:rPr>
        <w:rFonts w:ascii="Courier New" w:hAnsi="Courier New" w:cs="Courier New" w:hint="default"/>
      </w:rPr>
    </w:lvl>
    <w:lvl w:ilvl="2" w:tplc="04070005" w:tentative="1">
      <w:start w:val="1"/>
      <w:numFmt w:val="bullet"/>
      <w:lvlText w:val=""/>
      <w:lvlJc w:val="left"/>
      <w:pPr>
        <w:ind w:left="1785" w:hanging="360"/>
      </w:pPr>
      <w:rPr>
        <w:rFonts w:ascii="Wingdings" w:hAnsi="Wingdings" w:hint="default"/>
      </w:rPr>
    </w:lvl>
    <w:lvl w:ilvl="3" w:tplc="04070001" w:tentative="1">
      <w:start w:val="1"/>
      <w:numFmt w:val="bullet"/>
      <w:lvlText w:val=""/>
      <w:lvlJc w:val="left"/>
      <w:pPr>
        <w:ind w:left="2505" w:hanging="360"/>
      </w:pPr>
      <w:rPr>
        <w:rFonts w:ascii="Symbol" w:hAnsi="Symbol" w:hint="default"/>
      </w:rPr>
    </w:lvl>
    <w:lvl w:ilvl="4" w:tplc="04070003" w:tentative="1">
      <w:start w:val="1"/>
      <w:numFmt w:val="bullet"/>
      <w:lvlText w:val="o"/>
      <w:lvlJc w:val="left"/>
      <w:pPr>
        <w:ind w:left="3225" w:hanging="360"/>
      </w:pPr>
      <w:rPr>
        <w:rFonts w:ascii="Courier New" w:hAnsi="Courier New" w:cs="Courier New" w:hint="default"/>
      </w:rPr>
    </w:lvl>
    <w:lvl w:ilvl="5" w:tplc="04070005" w:tentative="1">
      <w:start w:val="1"/>
      <w:numFmt w:val="bullet"/>
      <w:lvlText w:val=""/>
      <w:lvlJc w:val="left"/>
      <w:pPr>
        <w:ind w:left="3945" w:hanging="360"/>
      </w:pPr>
      <w:rPr>
        <w:rFonts w:ascii="Wingdings" w:hAnsi="Wingdings" w:hint="default"/>
      </w:rPr>
    </w:lvl>
    <w:lvl w:ilvl="6" w:tplc="04070001" w:tentative="1">
      <w:start w:val="1"/>
      <w:numFmt w:val="bullet"/>
      <w:lvlText w:val=""/>
      <w:lvlJc w:val="left"/>
      <w:pPr>
        <w:ind w:left="4665" w:hanging="360"/>
      </w:pPr>
      <w:rPr>
        <w:rFonts w:ascii="Symbol" w:hAnsi="Symbol" w:hint="default"/>
      </w:rPr>
    </w:lvl>
    <w:lvl w:ilvl="7" w:tplc="04070003" w:tentative="1">
      <w:start w:val="1"/>
      <w:numFmt w:val="bullet"/>
      <w:lvlText w:val="o"/>
      <w:lvlJc w:val="left"/>
      <w:pPr>
        <w:ind w:left="5385" w:hanging="360"/>
      </w:pPr>
      <w:rPr>
        <w:rFonts w:ascii="Courier New" w:hAnsi="Courier New" w:cs="Courier New" w:hint="default"/>
      </w:rPr>
    </w:lvl>
    <w:lvl w:ilvl="8" w:tplc="04070005" w:tentative="1">
      <w:start w:val="1"/>
      <w:numFmt w:val="bullet"/>
      <w:lvlText w:val=""/>
      <w:lvlJc w:val="left"/>
      <w:pPr>
        <w:ind w:left="6105" w:hanging="360"/>
      </w:pPr>
      <w:rPr>
        <w:rFonts w:ascii="Wingdings" w:hAnsi="Wingdings" w:hint="default"/>
      </w:rPr>
    </w:lvl>
  </w:abstractNum>
  <w:abstractNum w:abstractNumId="1" w15:restartNumberingAfterBreak="0">
    <w:nsid w:val="06B86453"/>
    <w:multiLevelType w:val="hybridMultilevel"/>
    <w:tmpl w:val="256AB776"/>
    <w:lvl w:ilvl="0" w:tplc="04070015">
      <w:start w:val="1"/>
      <w:numFmt w:val="decimal"/>
      <w:lvlText w:val="(%1)"/>
      <w:lvlJc w:val="left"/>
      <w:pPr>
        <w:ind w:left="345" w:hanging="360"/>
      </w:pPr>
      <w:rPr>
        <w:rFonts w:hint="default"/>
      </w:rPr>
    </w:lvl>
    <w:lvl w:ilvl="1" w:tplc="04070003" w:tentative="1">
      <w:start w:val="1"/>
      <w:numFmt w:val="bullet"/>
      <w:lvlText w:val="o"/>
      <w:lvlJc w:val="left"/>
      <w:pPr>
        <w:ind w:left="1065" w:hanging="360"/>
      </w:pPr>
      <w:rPr>
        <w:rFonts w:ascii="Courier New" w:hAnsi="Courier New" w:cs="Courier New" w:hint="default"/>
      </w:rPr>
    </w:lvl>
    <w:lvl w:ilvl="2" w:tplc="04070005" w:tentative="1">
      <w:start w:val="1"/>
      <w:numFmt w:val="bullet"/>
      <w:lvlText w:val=""/>
      <w:lvlJc w:val="left"/>
      <w:pPr>
        <w:ind w:left="1785" w:hanging="360"/>
      </w:pPr>
      <w:rPr>
        <w:rFonts w:ascii="Wingdings" w:hAnsi="Wingdings" w:hint="default"/>
      </w:rPr>
    </w:lvl>
    <w:lvl w:ilvl="3" w:tplc="04070001" w:tentative="1">
      <w:start w:val="1"/>
      <w:numFmt w:val="bullet"/>
      <w:lvlText w:val=""/>
      <w:lvlJc w:val="left"/>
      <w:pPr>
        <w:ind w:left="2505" w:hanging="360"/>
      </w:pPr>
      <w:rPr>
        <w:rFonts w:ascii="Symbol" w:hAnsi="Symbol" w:hint="default"/>
      </w:rPr>
    </w:lvl>
    <w:lvl w:ilvl="4" w:tplc="04070003" w:tentative="1">
      <w:start w:val="1"/>
      <w:numFmt w:val="bullet"/>
      <w:lvlText w:val="o"/>
      <w:lvlJc w:val="left"/>
      <w:pPr>
        <w:ind w:left="3225" w:hanging="360"/>
      </w:pPr>
      <w:rPr>
        <w:rFonts w:ascii="Courier New" w:hAnsi="Courier New" w:cs="Courier New" w:hint="default"/>
      </w:rPr>
    </w:lvl>
    <w:lvl w:ilvl="5" w:tplc="04070005" w:tentative="1">
      <w:start w:val="1"/>
      <w:numFmt w:val="bullet"/>
      <w:lvlText w:val=""/>
      <w:lvlJc w:val="left"/>
      <w:pPr>
        <w:ind w:left="3945" w:hanging="360"/>
      </w:pPr>
      <w:rPr>
        <w:rFonts w:ascii="Wingdings" w:hAnsi="Wingdings" w:hint="default"/>
      </w:rPr>
    </w:lvl>
    <w:lvl w:ilvl="6" w:tplc="04070001" w:tentative="1">
      <w:start w:val="1"/>
      <w:numFmt w:val="bullet"/>
      <w:lvlText w:val=""/>
      <w:lvlJc w:val="left"/>
      <w:pPr>
        <w:ind w:left="4665" w:hanging="360"/>
      </w:pPr>
      <w:rPr>
        <w:rFonts w:ascii="Symbol" w:hAnsi="Symbol" w:hint="default"/>
      </w:rPr>
    </w:lvl>
    <w:lvl w:ilvl="7" w:tplc="04070003" w:tentative="1">
      <w:start w:val="1"/>
      <w:numFmt w:val="bullet"/>
      <w:lvlText w:val="o"/>
      <w:lvlJc w:val="left"/>
      <w:pPr>
        <w:ind w:left="5385" w:hanging="360"/>
      </w:pPr>
      <w:rPr>
        <w:rFonts w:ascii="Courier New" w:hAnsi="Courier New" w:cs="Courier New" w:hint="default"/>
      </w:rPr>
    </w:lvl>
    <w:lvl w:ilvl="8" w:tplc="04070005" w:tentative="1">
      <w:start w:val="1"/>
      <w:numFmt w:val="bullet"/>
      <w:lvlText w:val=""/>
      <w:lvlJc w:val="left"/>
      <w:pPr>
        <w:ind w:left="6105" w:hanging="360"/>
      </w:pPr>
      <w:rPr>
        <w:rFonts w:ascii="Wingdings" w:hAnsi="Wingdings" w:hint="default"/>
      </w:rPr>
    </w:lvl>
  </w:abstractNum>
  <w:abstractNum w:abstractNumId="2" w15:restartNumberingAfterBreak="0">
    <w:nsid w:val="12EA6152"/>
    <w:multiLevelType w:val="hybridMultilevel"/>
    <w:tmpl w:val="85D483D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72F19F4"/>
    <w:multiLevelType w:val="hybridMultilevel"/>
    <w:tmpl w:val="2948F6EE"/>
    <w:lvl w:ilvl="0" w:tplc="5C4C6D3A">
      <w:start w:val="1"/>
      <w:numFmt w:val="lowerLetter"/>
      <w:lvlText w:val="%1)"/>
      <w:lvlJc w:val="left"/>
      <w:pPr>
        <w:ind w:left="1068"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7677287"/>
    <w:multiLevelType w:val="hybridMultilevel"/>
    <w:tmpl w:val="CFC8BD6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AC5F75"/>
    <w:multiLevelType w:val="hybridMultilevel"/>
    <w:tmpl w:val="CA64EE82"/>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6" w15:restartNumberingAfterBreak="0">
    <w:nsid w:val="20DF32D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1CB24C1"/>
    <w:multiLevelType w:val="multilevel"/>
    <w:tmpl w:val="791451C8"/>
    <w:lvl w:ilvl="0">
      <w:start w:val="1"/>
      <w:numFmt w:val="bullet"/>
      <w:lvlText w:val=""/>
      <w:lvlJc w:val="left"/>
      <w:pPr>
        <w:ind w:left="1428" w:hanging="360"/>
      </w:pPr>
      <w:rPr>
        <w:rFonts w:ascii="Wingdings" w:hAnsi="Wingdings" w:cs="Wingdings"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8" w15:restartNumberingAfterBreak="0">
    <w:nsid w:val="2C2A73C0"/>
    <w:multiLevelType w:val="hybridMultilevel"/>
    <w:tmpl w:val="A67096D6"/>
    <w:lvl w:ilvl="0" w:tplc="04070019">
      <w:start w:val="1"/>
      <w:numFmt w:val="lowerLetter"/>
      <w:lvlText w:val="%1."/>
      <w:lvlJc w:val="left"/>
      <w:pPr>
        <w:ind w:left="1788" w:hanging="360"/>
      </w:pPr>
    </w:lvl>
    <w:lvl w:ilvl="1" w:tplc="04070019" w:tentative="1">
      <w:start w:val="1"/>
      <w:numFmt w:val="lowerLetter"/>
      <w:lvlText w:val="%2."/>
      <w:lvlJc w:val="left"/>
      <w:pPr>
        <w:ind w:left="2508" w:hanging="360"/>
      </w:pPr>
    </w:lvl>
    <w:lvl w:ilvl="2" w:tplc="0407001B" w:tentative="1">
      <w:start w:val="1"/>
      <w:numFmt w:val="lowerRoman"/>
      <w:lvlText w:val="%3."/>
      <w:lvlJc w:val="right"/>
      <w:pPr>
        <w:ind w:left="3228" w:hanging="180"/>
      </w:pPr>
    </w:lvl>
    <w:lvl w:ilvl="3" w:tplc="0407000F" w:tentative="1">
      <w:start w:val="1"/>
      <w:numFmt w:val="decimal"/>
      <w:lvlText w:val="%4."/>
      <w:lvlJc w:val="left"/>
      <w:pPr>
        <w:ind w:left="3948" w:hanging="360"/>
      </w:pPr>
    </w:lvl>
    <w:lvl w:ilvl="4" w:tplc="04070019" w:tentative="1">
      <w:start w:val="1"/>
      <w:numFmt w:val="lowerLetter"/>
      <w:lvlText w:val="%5."/>
      <w:lvlJc w:val="left"/>
      <w:pPr>
        <w:ind w:left="4668" w:hanging="360"/>
      </w:pPr>
    </w:lvl>
    <w:lvl w:ilvl="5" w:tplc="0407001B" w:tentative="1">
      <w:start w:val="1"/>
      <w:numFmt w:val="lowerRoman"/>
      <w:lvlText w:val="%6."/>
      <w:lvlJc w:val="right"/>
      <w:pPr>
        <w:ind w:left="5388" w:hanging="180"/>
      </w:pPr>
    </w:lvl>
    <w:lvl w:ilvl="6" w:tplc="0407000F" w:tentative="1">
      <w:start w:val="1"/>
      <w:numFmt w:val="decimal"/>
      <w:lvlText w:val="%7."/>
      <w:lvlJc w:val="left"/>
      <w:pPr>
        <w:ind w:left="6108" w:hanging="360"/>
      </w:pPr>
    </w:lvl>
    <w:lvl w:ilvl="7" w:tplc="04070019" w:tentative="1">
      <w:start w:val="1"/>
      <w:numFmt w:val="lowerLetter"/>
      <w:lvlText w:val="%8."/>
      <w:lvlJc w:val="left"/>
      <w:pPr>
        <w:ind w:left="6828" w:hanging="360"/>
      </w:pPr>
    </w:lvl>
    <w:lvl w:ilvl="8" w:tplc="0407001B" w:tentative="1">
      <w:start w:val="1"/>
      <w:numFmt w:val="lowerRoman"/>
      <w:lvlText w:val="%9."/>
      <w:lvlJc w:val="right"/>
      <w:pPr>
        <w:ind w:left="7548" w:hanging="180"/>
      </w:pPr>
    </w:lvl>
  </w:abstractNum>
  <w:abstractNum w:abstractNumId="9" w15:restartNumberingAfterBreak="0">
    <w:nsid w:val="359718E4"/>
    <w:multiLevelType w:val="hybridMultilevel"/>
    <w:tmpl w:val="4B50A564"/>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0" w15:restartNumberingAfterBreak="0">
    <w:nsid w:val="37376CA5"/>
    <w:multiLevelType w:val="hybridMultilevel"/>
    <w:tmpl w:val="65F627BC"/>
    <w:lvl w:ilvl="0" w:tplc="9E3A8F5C">
      <w:start w:val="1"/>
      <w:numFmt w:val="decimal"/>
      <w:lvlText w:val="%1."/>
      <w:lvlJc w:val="left"/>
      <w:pPr>
        <w:ind w:left="1068" w:hanging="360"/>
      </w:pPr>
      <w:rPr>
        <w:rFonts w:hint="default"/>
        <w:b/>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1" w15:restartNumberingAfterBreak="0">
    <w:nsid w:val="3E3071A9"/>
    <w:multiLevelType w:val="hybridMultilevel"/>
    <w:tmpl w:val="4154993A"/>
    <w:lvl w:ilvl="0" w:tplc="04070005">
      <w:start w:val="1"/>
      <w:numFmt w:val="bullet"/>
      <w:lvlText w:val=""/>
      <w:lvlJc w:val="left"/>
      <w:pPr>
        <w:ind w:left="1428" w:hanging="360"/>
      </w:pPr>
      <w:rPr>
        <w:rFonts w:ascii="Wingdings" w:hAnsi="Wingdings"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2" w15:restartNumberingAfterBreak="0">
    <w:nsid w:val="3F2415C0"/>
    <w:multiLevelType w:val="hybridMultilevel"/>
    <w:tmpl w:val="7D3E402E"/>
    <w:lvl w:ilvl="0" w:tplc="1D941ECA">
      <w:start w:val="1"/>
      <w:numFmt w:val="decimal"/>
      <w:lvlText w:val="%1."/>
      <w:lvlJc w:val="left"/>
      <w:pPr>
        <w:ind w:left="1068" w:hanging="360"/>
      </w:pPr>
      <w:rPr>
        <w:rFonts w:hint="default"/>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3" w15:restartNumberingAfterBreak="0">
    <w:nsid w:val="434450C9"/>
    <w:multiLevelType w:val="multilevel"/>
    <w:tmpl w:val="D8ACE33A"/>
    <w:lvl w:ilvl="0">
      <w:start w:val="1"/>
      <w:numFmt w:val="decimal"/>
      <w:pStyle w:val="berschrif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4DFD342B"/>
    <w:multiLevelType w:val="hybridMultilevel"/>
    <w:tmpl w:val="309A0262"/>
    <w:lvl w:ilvl="0" w:tplc="04070005">
      <w:start w:val="1"/>
      <w:numFmt w:val="bullet"/>
      <w:lvlText w:val=""/>
      <w:lvlJc w:val="left"/>
      <w:pPr>
        <w:ind w:left="1480" w:hanging="360"/>
      </w:pPr>
      <w:rPr>
        <w:rFonts w:ascii="Wingdings" w:hAnsi="Wingdings" w:hint="default"/>
      </w:rPr>
    </w:lvl>
    <w:lvl w:ilvl="1" w:tplc="04070003" w:tentative="1">
      <w:start w:val="1"/>
      <w:numFmt w:val="bullet"/>
      <w:lvlText w:val="o"/>
      <w:lvlJc w:val="left"/>
      <w:pPr>
        <w:ind w:left="2200" w:hanging="360"/>
      </w:pPr>
      <w:rPr>
        <w:rFonts w:ascii="Courier New" w:hAnsi="Courier New" w:cs="Courier New" w:hint="default"/>
      </w:rPr>
    </w:lvl>
    <w:lvl w:ilvl="2" w:tplc="04070005" w:tentative="1">
      <w:start w:val="1"/>
      <w:numFmt w:val="bullet"/>
      <w:lvlText w:val=""/>
      <w:lvlJc w:val="left"/>
      <w:pPr>
        <w:ind w:left="2920" w:hanging="360"/>
      </w:pPr>
      <w:rPr>
        <w:rFonts w:ascii="Wingdings" w:hAnsi="Wingdings" w:hint="default"/>
      </w:rPr>
    </w:lvl>
    <w:lvl w:ilvl="3" w:tplc="04070001" w:tentative="1">
      <w:start w:val="1"/>
      <w:numFmt w:val="bullet"/>
      <w:lvlText w:val=""/>
      <w:lvlJc w:val="left"/>
      <w:pPr>
        <w:ind w:left="3640" w:hanging="360"/>
      </w:pPr>
      <w:rPr>
        <w:rFonts w:ascii="Symbol" w:hAnsi="Symbol" w:hint="default"/>
      </w:rPr>
    </w:lvl>
    <w:lvl w:ilvl="4" w:tplc="04070003" w:tentative="1">
      <w:start w:val="1"/>
      <w:numFmt w:val="bullet"/>
      <w:lvlText w:val="o"/>
      <w:lvlJc w:val="left"/>
      <w:pPr>
        <w:ind w:left="4360" w:hanging="360"/>
      </w:pPr>
      <w:rPr>
        <w:rFonts w:ascii="Courier New" w:hAnsi="Courier New" w:cs="Courier New" w:hint="default"/>
      </w:rPr>
    </w:lvl>
    <w:lvl w:ilvl="5" w:tplc="04070005" w:tentative="1">
      <w:start w:val="1"/>
      <w:numFmt w:val="bullet"/>
      <w:lvlText w:val=""/>
      <w:lvlJc w:val="left"/>
      <w:pPr>
        <w:ind w:left="5080" w:hanging="360"/>
      </w:pPr>
      <w:rPr>
        <w:rFonts w:ascii="Wingdings" w:hAnsi="Wingdings" w:hint="default"/>
      </w:rPr>
    </w:lvl>
    <w:lvl w:ilvl="6" w:tplc="04070001" w:tentative="1">
      <w:start w:val="1"/>
      <w:numFmt w:val="bullet"/>
      <w:lvlText w:val=""/>
      <w:lvlJc w:val="left"/>
      <w:pPr>
        <w:ind w:left="5800" w:hanging="360"/>
      </w:pPr>
      <w:rPr>
        <w:rFonts w:ascii="Symbol" w:hAnsi="Symbol" w:hint="default"/>
      </w:rPr>
    </w:lvl>
    <w:lvl w:ilvl="7" w:tplc="04070003" w:tentative="1">
      <w:start w:val="1"/>
      <w:numFmt w:val="bullet"/>
      <w:lvlText w:val="o"/>
      <w:lvlJc w:val="left"/>
      <w:pPr>
        <w:ind w:left="6520" w:hanging="360"/>
      </w:pPr>
      <w:rPr>
        <w:rFonts w:ascii="Courier New" w:hAnsi="Courier New" w:cs="Courier New" w:hint="default"/>
      </w:rPr>
    </w:lvl>
    <w:lvl w:ilvl="8" w:tplc="04070005" w:tentative="1">
      <w:start w:val="1"/>
      <w:numFmt w:val="bullet"/>
      <w:lvlText w:val=""/>
      <w:lvlJc w:val="left"/>
      <w:pPr>
        <w:ind w:left="7240" w:hanging="360"/>
      </w:pPr>
      <w:rPr>
        <w:rFonts w:ascii="Wingdings" w:hAnsi="Wingdings" w:hint="default"/>
      </w:rPr>
    </w:lvl>
  </w:abstractNum>
  <w:abstractNum w:abstractNumId="15" w15:restartNumberingAfterBreak="0">
    <w:nsid w:val="687B0879"/>
    <w:multiLevelType w:val="hybridMultilevel"/>
    <w:tmpl w:val="5D18FC6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360E56">
      <w:start w:val="1"/>
      <w:numFmt w:val="bullet"/>
      <w:lvlText w:val=""/>
      <w:lvlJc w:val="left"/>
      <w:pPr>
        <w:ind w:left="2160" w:hanging="360"/>
      </w:pPr>
      <w:rPr>
        <w:rFonts w:ascii="Wingdings 2" w:hAnsi="Wingdings 2"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12"/>
  </w:num>
  <w:num w:numId="4">
    <w:abstractNumId w:val="4"/>
  </w:num>
  <w:num w:numId="5">
    <w:abstractNumId w:val="15"/>
  </w:num>
  <w:num w:numId="6">
    <w:abstractNumId w:val="2"/>
  </w:num>
  <w:num w:numId="7">
    <w:abstractNumId w:val="8"/>
  </w:num>
  <w:num w:numId="8">
    <w:abstractNumId w:val="14"/>
  </w:num>
  <w:num w:numId="9">
    <w:abstractNumId w:val="5"/>
  </w:num>
  <w:num w:numId="10">
    <w:abstractNumId w:val="11"/>
  </w:num>
  <w:num w:numId="11">
    <w:abstractNumId w:val="6"/>
  </w:num>
  <w:num w:numId="12">
    <w:abstractNumId w:val="0"/>
  </w:num>
  <w:num w:numId="13">
    <w:abstractNumId w:val="1"/>
  </w:num>
  <w:num w:numId="14">
    <w:abstractNumId w:val="7"/>
  </w:num>
  <w:num w:numId="15">
    <w:abstractNumId w:val="10"/>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4F5"/>
    <w:rsid w:val="000331F1"/>
    <w:rsid w:val="00044B56"/>
    <w:rsid w:val="00051299"/>
    <w:rsid w:val="00054E07"/>
    <w:rsid w:val="000566FC"/>
    <w:rsid w:val="00057BD0"/>
    <w:rsid w:val="000837A2"/>
    <w:rsid w:val="000855E5"/>
    <w:rsid w:val="00086CB7"/>
    <w:rsid w:val="000B6132"/>
    <w:rsid w:val="000F24EE"/>
    <w:rsid w:val="00105D44"/>
    <w:rsid w:val="00115941"/>
    <w:rsid w:val="00147A44"/>
    <w:rsid w:val="001541C5"/>
    <w:rsid w:val="001963A1"/>
    <w:rsid w:val="001A25F3"/>
    <w:rsid w:val="001B6128"/>
    <w:rsid w:val="001F4072"/>
    <w:rsid w:val="001F55B6"/>
    <w:rsid w:val="00217FE5"/>
    <w:rsid w:val="00256DD2"/>
    <w:rsid w:val="00260B46"/>
    <w:rsid w:val="0026193C"/>
    <w:rsid w:val="00263EBE"/>
    <w:rsid w:val="0026760A"/>
    <w:rsid w:val="002735B9"/>
    <w:rsid w:val="002B0F82"/>
    <w:rsid w:val="002B3C51"/>
    <w:rsid w:val="002E76DF"/>
    <w:rsid w:val="002E7EBB"/>
    <w:rsid w:val="00303181"/>
    <w:rsid w:val="0032383F"/>
    <w:rsid w:val="00326B0A"/>
    <w:rsid w:val="003356CC"/>
    <w:rsid w:val="0033635C"/>
    <w:rsid w:val="00336C9C"/>
    <w:rsid w:val="00346D25"/>
    <w:rsid w:val="00383379"/>
    <w:rsid w:val="00386D0F"/>
    <w:rsid w:val="0039016E"/>
    <w:rsid w:val="003A13C9"/>
    <w:rsid w:val="003B2BCA"/>
    <w:rsid w:val="003E4B83"/>
    <w:rsid w:val="003F2B4D"/>
    <w:rsid w:val="0041323D"/>
    <w:rsid w:val="00415D76"/>
    <w:rsid w:val="0042311B"/>
    <w:rsid w:val="004278CC"/>
    <w:rsid w:val="004864BA"/>
    <w:rsid w:val="004867EB"/>
    <w:rsid w:val="00492337"/>
    <w:rsid w:val="004A7C65"/>
    <w:rsid w:val="004B34EC"/>
    <w:rsid w:val="004C6CC8"/>
    <w:rsid w:val="004E6EC5"/>
    <w:rsid w:val="004F1206"/>
    <w:rsid w:val="004F77C2"/>
    <w:rsid w:val="00513934"/>
    <w:rsid w:val="00516792"/>
    <w:rsid w:val="00554468"/>
    <w:rsid w:val="005628A8"/>
    <w:rsid w:val="00566011"/>
    <w:rsid w:val="00574A41"/>
    <w:rsid w:val="00583ACA"/>
    <w:rsid w:val="005B50B7"/>
    <w:rsid w:val="005B56FD"/>
    <w:rsid w:val="005B7776"/>
    <w:rsid w:val="005B7BAA"/>
    <w:rsid w:val="005F4DD5"/>
    <w:rsid w:val="00603A2A"/>
    <w:rsid w:val="006123AC"/>
    <w:rsid w:val="00617A29"/>
    <w:rsid w:val="00621067"/>
    <w:rsid w:val="00651BA7"/>
    <w:rsid w:val="00656DDA"/>
    <w:rsid w:val="006659C4"/>
    <w:rsid w:val="00670391"/>
    <w:rsid w:val="00672A5C"/>
    <w:rsid w:val="0067386E"/>
    <w:rsid w:val="00694ECD"/>
    <w:rsid w:val="006A1A59"/>
    <w:rsid w:val="006A2298"/>
    <w:rsid w:val="006C0F3F"/>
    <w:rsid w:val="006C6328"/>
    <w:rsid w:val="006E4A68"/>
    <w:rsid w:val="006F68A1"/>
    <w:rsid w:val="006F6F11"/>
    <w:rsid w:val="007054F5"/>
    <w:rsid w:val="00724BF5"/>
    <w:rsid w:val="00734188"/>
    <w:rsid w:val="00750172"/>
    <w:rsid w:val="00753832"/>
    <w:rsid w:val="00754033"/>
    <w:rsid w:val="00763091"/>
    <w:rsid w:val="007704F8"/>
    <w:rsid w:val="00773D2D"/>
    <w:rsid w:val="00791413"/>
    <w:rsid w:val="007A26A2"/>
    <w:rsid w:val="007B1BCA"/>
    <w:rsid w:val="007D53DB"/>
    <w:rsid w:val="007E3B29"/>
    <w:rsid w:val="008017C0"/>
    <w:rsid w:val="008025C2"/>
    <w:rsid w:val="00814BFC"/>
    <w:rsid w:val="00841568"/>
    <w:rsid w:val="00850047"/>
    <w:rsid w:val="00861D18"/>
    <w:rsid w:val="00872409"/>
    <w:rsid w:val="0089134F"/>
    <w:rsid w:val="008B3004"/>
    <w:rsid w:val="008E2252"/>
    <w:rsid w:val="008E53BD"/>
    <w:rsid w:val="008E77A4"/>
    <w:rsid w:val="008F2B21"/>
    <w:rsid w:val="008F7B83"/>
    <w:rsid w:val="00912FE0"/>
    <w:rsid w:val="0093286F"/>
    <w:rsid w:val="0093572D"/>
    <w:rsid w:val="009771B3"/>
    <w:rsid w:val="009A0E42"/>
    <w:rsid w:val="009B316A"/>
    <w:rsid w:val="009B7B4C"/>
    <w:rsid w:val="009D1EDF"/>
    <w:rsid w:val="009E0C63"/>
    <w:rsid w:val="00A0460C"/>
    <w:rsid w:val="00A41B50"/>
    <w:rsid w:val="00A471F9"/>
    <w:rsid w:val="00A753A0"/>
    <w:rsid w:val="00A90D4D"/>
    <w:rsid w:val="00AA7DB4"/>
    <w:rsid w:val="00AB3050"/>
    <w:rsid w:val="00AC0D42"/>
    <w:rsid w:val="00AC6FFB"/>
    <w:rsid w:val="00AF7750"/>
    <w:rsid w:val="00B005A7"/>
    <w:rsid w:val="00B01FA7"/>
    <w:rsid w:val="00B140F3"/>
    <w:rsid w:val="00B17179"/>
    <w:rsid w:val="00B416B9"/>
    <w:rsid w:val="00B66375"/>
    <w:rsid w:val="00B91544"/>
    <w:rsid w:val="00B93AF4"/>
    <w:rsid w:val="00BA2244"/>
    <w:rsid w:val="00BA31C3"/>
    <w:rsid w:val="00BA3E2B"/>
    <w:rsid w:val="00BC424A"/>
    <w:rsid w:val="00BD6EAA"/>
    <w:rsid w:val="00BF4E0A"/>
    <w:rsid w:val="00BF68C2"/>
    <w:rsid w:val="00C038BA"/>
    <w:rsid w:val="00C10B8C"/>
    <w:rsid w:val="00C15ADA"/>
    <w:rsid w:val="00C34524"/>
    <w:rsid w:val="00C34EA2"/>
    <w:rsid w:val="00C370CB"/>
    <w:rsid w:val="00C42FF4"/>
    <w:rsid w:val="00C645E1"/>
    <w:rsid w:val="00C719EF"/>
    <w:rsid w:val="00C73804"/>
    <w:rsid w:val="00C82261"/>
    <w:rsid w:val="00C8771F"/>
    <w:rsid w:val="00C97476"/>
    <w:rsid w:val="00CA1791"/>
    <w:rsid w:val="00CC70E5"/>
    <w:rsid w:val="00CF19D0"/>
    <w:rsid w:val="00CF4593"/>
    <w:rsid w:val="00CF4D9C"/>
    <w:rsid w:val="00D0260B"/>
    <w:rsid w:val="00D3557F"/>
    <w:rsid w:val="00D63998"/>
    <w:rsid w:val="00D75B35"/>
    <w:rsid w:val="00D75D88"/>
    <w:rsid w:val="00D8082D"/>
    <w:rsid w:val="00D810B3"/>
    <w:rsid w:val="00D96352"/>
    <w:rsid w:val="00D96EDD"/>
    <w:rsid w:val="00DB3B19"/>
    <w:rsid w:val="00DC170E"/>
    <w:rsid w:val="00DD1D4E"/>
    <w:rsid w:val="00DE4A20"/>
    <w:rsid w:val="00DF5655"/>
    <w:rsid w:val="00E06975"/>
    <w:rsid w:val="00E34271"/>
    <w:rsid w:val="00E559B8"/>
    <w:rsid w:val="00E61AEF"/>
    <w:rsid w:val="00E80CCF"/>
    <w:rsid w:val="00E822A8"/>
    <w:rsid w:val="00E87FDD"/>
    <w:rsid w:val="00E962FA"/>
    <w:rsid w:val="00EC560C"/>
    <w:rsid w:val="00ED5EBC"/>
    <w:rsid w:val="00EF465B"/>
    <w:rsid w:val="00F00B6D"/>
    <w:rsid w:val="00F029D3"/>
    <w:rsid w:val="00F3280A"/>
    <w:rsid w:val="00F43957"/>
    <w:rsid w:val="00F46F5B"/>
    <w:rsid w:val="00F47152"/>
    <w:rsid w:val="00F72CFB"/>
    <w:rsid w:val="00F81FAD"/>
    <w:rsid w:val="00FC7AE2"/>
    <w:rsid w:val="00FE53C8"/>
    <w:rsid w:val="00FF569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7FE6DF8"/>
  <w15:chartTrackingRefBased/>
  <w15:docId w15:val="{9AEDB0AD-8E9E-4255-B07A-C7ADBBFC0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46F5B"/>
    <w:pPr>
      <w:ind w:left="708"/>
    </w:pPr>
    <w:rPr>
      <w:rFonts w:asciiTheme="majorHAnsi" w:hAnsiTheme="majorHAnsi"/>
    </w:rPr>
  </w:style>
  <w:style w:type="paragraph" w:styleId="berschrift1">
    <w:name w:val="heading 1"/>
    <w:basedOn w:val="Standard"/>
    <w:next w:val="Standard"/>
    <w:link w:val="berschrift1Zchn"/>
    <w:uiPriority w:val="9"/>
    <w:qFormat/>
    <w:rsid w:val="00516792"/>
    <w:pPr>
      <w:keepNext/>
      <w:keepLines/>
      <w:spacing w:before="240" w:after="0"/>
      <w:outlineLvl w:val="0"/>
    </w:pPr>
    <w:rPr>
      <w:rFonts w:eastAsiaTheme="majorEastAsia"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FC7AE2"/>
    <w:pPr>
      <w:keepNext/>
      <w:keepLines/>
      <w:numPr>
        <w:numId w:val="2"/>
      </w:numPr>
      <w:spacing w:before="40" w:after="0"/>
      <w:ind w:left="360" w:hanging="360"/>
      <w:outlineLvl w:val="1"/>
    </w:pPr>
    <w:rPr>
      <w:rFonts w:eastAsiaTheme="majorEastAsia" w:cstheme="majorBidi"/>
      <w:b/>
      <w:color w:val="000000" w:themeColor="text1"/>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FC7AE2"/>
    <w:rPr>
      <w:rFonts w:ascii="Arial" w:eastAsiaTheme="majorEastAsia" w:hAnsi="Arial" w:cstheme="majorBidi"/>
      <w:b/>
      <w:color w:val="000000" w:themeColor="text1"/>
      <w:szCs w:val="26"/>
    </w:rPr>
  </w:style>
  <w:style w:type="paragraph" w:styleId="Kopfzeile">
    <w:name w:val="header"/>
    <w:basedOn w:val="Standard"/>
    <w:link w:val="KopfzeileZchn"/>
    <w:uiPriority w:val="99"/>
    <w:unhideWhenUsed/>
    <w:rsid w:val="007054F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054F5"/>
    <w:rPr>
      <w:rFonts w:asciiTheme="majorHAnsi" w:hAnsiTheme="majorHAnsi"/>
    </w:rPr>
  </w:style>
  <w:style w:type="paragraph" w:styleId="Fuzeile">
    <w:name w:val="footer"/>
    <w:basedOn w:val="Standard"/>
    <w:link w:val="FuzeileZchn"/>
    <w:uiPriority w:val="99"/>
    <w:unhideWhenUsed/>
    <w:rsid w:val="007054F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054F5"/>
    <w:rPr>
      <w:rFonts w:asciiTheme="majorHAnsi" w:hAnsiTheme="majorHAnsi"/>
    </w:rPr>
  </w:style>
  <w:style w:type="table" w:customStyle="1" w:styleId="Tabellenraster1">
    <w:name w:val="Tabellenraster1"/>
    <w:basedOn w:val="NormaleTabelle"/>
    <w:next w:val="Tabellenraster"/>
    <w:uiPriority w:val="39"/>
    <w:rsid w:val="00705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uiPriority w:val="39"/>
    <w:rsid w:val="00705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029D3"/>
    <w:pPr>
      <w:ind w:left="720"/>
      <w:contextualSpacing/>
    </w:pPr>
  </w:style>
  <w:style w:type="character" w:styleId="Hyperlink">
    <w:name w:val="Hyperlink"/>
    <w:basedOn w:val="Absatz-Standardschriftart"/>
    <w:uiPriority w:val="99"/>
    <w:unhideWhenUsed/>
    <w:rsid w:val="00054E07"/>
    <w:rPr>
      <w:color w:val="0563C1" w:themeColor="hyperlink"/>
      <w:u w:val="single"/>
    </w:rPr>
  </w:style>
  <w:style w:type="character" w:customStyle="1" w:styleId="berschrift1Zchn">
    <w:name w:val="Überschrift 1 Zchn"/>
    <w:basedOn w:val="Absatz-Standardschriftart"/>
    <w:link w:val="berschrift1"/>
    <w:uiPriority w:val="9"/>
    <w:rsid w:val="00516792"/>
    <w:rPr>
      <w:rFonts w:asciiTheme="majorHAnsi" w:eastAsiaTheme="majorEastAsia" w:hAnsiTheme="majorHAnsi" w:cstheme="majorBidi"/>
      <w:color w:val="2E74B5" w:themeColor="accent1" w:themeShade="BF"/>
      <w:sz w:val="32"/>
      <w:szCs w:val="32"/>
    </w:rPr>
  </w:style>
  <w:style w:type="paragraph" w:styleId="Funotentext">
    <w:name w:val="footnote text"/>
    <w:basedOn w:val="Standard"/>
    <w:link w:val="FunotentextZchn"/>
    <w:uiPriority w:val="99"/>
    <w:semiHidden/>
    <w:unhideWhenUsed/>
    <w:rsid w:val="00B93AF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93AF4"/>
    <w:rPr>
      <w:rFonts w:asciiTheme="majorHAnsi" w:hAnsiTheme="majorHAnsi"/>
      <w:sz w:val="20"/>
      <w:szCs w:val="20"/>
    </w:rPr>
  </w:style>
  <w:style w:type="character" w:styleId="Funotenzeichen">
    <w:name w:val="footnote reference"/>
    <w:basedOn w:val="Absatz-Standardschriftart"/>
    <w:uiPriority w:val="99"/>
    <w:semiHidden/>
    <w:unhideWhenUsed/>
    <w:rsid w:val="00B93AF4"/>
    <w:rPr>
      <w:vertAlign w:val="superscript"/>
    </w:rPr>
  </w:style>
  <w:style w:type="character" w:styleId="Kommentarzeichen">
    <w:name w:val="annotation reference"/>
    <w:basedOn w:val="Absatz-Standardschriftart"/>
    <w:uiPriority w:val="99"/>
    <w:semiHidden/>
    <w:unhideWhenUsed/>
    <w:rsid w:val="00BD6EAA"/>
    <w:rPr>
      <w:sz w:val="16"/>
      <w:szCs w:val="16"/>
    </w:rPr>
  </w:style>
  <w:style w:type="paragraph" w:styleId="Kommentartext">
    <w:name w:val="annotation text"/>
    <w:basedOn w:val="Standard"/>
    <w:link w:val="KommentartextZchn"/>
    <w:uiPriority w:val="99"/>
    <w:semiHidden/>
    <w:unhideWhenUsed/>
    <w:rsid w:val="00BD6EA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D6EAA"/>
    <w:rPr>
      <w:rFonts w:asciiTheme="majorHAnsi" w:hAnsiTheme="majorHAnsi"/>
      <w:sz w:val="20"/>
      <w:szCs w:val="20"/>
    </w:rPr>
  </w:style>
  <w:style w:type="paragraph" w:styleId="Kommentarthema">
    <w:name w:val="annotation subject"/>
    <w:basedOn w:val="Kommentartext"/>
    <w:next w:val="Kommentartext"/>
    <w:link w:val="KommentarthemaZchn"/>
    <w:uiPriority w:val="99"/>
    <w:semiHidden/>
    <w:unhideWhenUsed/>
    <w:rsid w:val="00BD6EAA"/>
    <w:rPr>
      <w:b/>
      <w:bCs/>
    </w:rPr>
  </w:style>
  <w:style w:type="character" w:customStyle="1" w:styleId="KommentarthemaZchn">
    <w:name w:val="Kommentarthema Zchn"/>
    <w:basedOn w:val="KommentartextZchn"/>
    <w:link w:val="Kommentarthema"/>
    <w:uiPriority w:val="99"/>
    <w:semiHidden/>
    <w:rsid w:val="00BD6EAA"/>
    <w:rPr>
      <w:rFonts w:asciiTheme="majorHAnsi" w:hAnsiTheme="majorHAnsi"/>
      <w:b/>
      <w:bCs/>
      <w:sz w:val="20"/>
      <w:szCs w:val="20"/>
    </w:rPr>
  </w:style>
  <w:style w:type="paragraph" w:styleId="Sprechblasentext">
    <w:name w:val="Balloon Text"/>
    <w:basedOn w:val="Standard"/>
    <w:link w:val="SprechblasentextZchn"/>
    <w:uiPriority w:val="99"/>
    <w:semiHidden/>
    <w:unhideWhenUsed/>
    <w:rsid w:val="00BD6EA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D6EAA"/>
    <w:rPr>
      <w:rFonts w:ascii="Segoe UI" w:hAnsi="Segoe UI" w:cs="Segoe UI"/>
      <w:sz w:val="18"/>
      <w:szCs w:val="18"/>
    </w:rPr>
  </w:style>
  <w:style w:type="character" w:customStyle="1" w:styleId="Funotenanker">
    <w:name w:val="Fußnotenanker"/>
    <w:rsid w:val="001963A1"/>
    <w:rPr>
      <w:vertAlign w:val="superscript"/>
    </w:rPr>
  </w:style>
  <w:style w:type="table" w:customStyle="1" w:styleId="Tabellenraster2">
    <w:name w:val="Tabellenraster2"/>
    <w:basedOn w:val="NormaleTabelle"/>
    <w:next w:val="Tabellenraster"/>
    <w:uiPriority w:val="39"/>
    <w:rsid w:val="00AC0D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415296">
      <w:bodyDiv w:val="1"/>
      <w:marLeft w:val="0"/>
      <w:marRight w:val="0"/>
      <w:marTop w:val="0"/>
      <w:marBottom w:val="0"/>
      <w:divBdr>
        <w:top w:val="none" w:sz="0" w:space="0" w:color="auto"/>
        <w:left w:val="none" w:sz="0" w:space="0" w:color="auto"/>
        <w:bottom w:val="none" w:sz="0" w:space="0" w:color="auto"/>
        <w:right w:val="none" w:sz="0" w:space="0" w:color="auto"/>
      </w:divBdr>
    </w:div>
    <w:div w:id="557591669">
      <w:bodyDiv w:val="1"/>
      <w:marLeft w:val="0"/>
      <w:marRight w:val="0"/>
      <w:marTop w:val="0"/>
      <w:marBottom w:val="0"/>
      <w:divBdr>
        <w:top w:val="none" w:sz="0" w:space="0" w:color="auto"/>
        <w:left w:val="none" w:sz="0" w:space="0" w:color="auto"/>
        <w:bottom w:val="none" w:sz="0" w:space="0" w:color="auto"/>
        <w:right w:val="none" w:sz="0" w:space="0" w:color="auto"/>
      </w:divBdr>
    </w:div>
    <w:div w:id="1562322921">
      <w:bodyDiv w:val="1"/>
      <w:marLeft w:val="0"/>
      <w:marRight w:val="0"/>
      <w:marTop w:val="0"/>
      <w:marBottom w:val="0"/>
      <w:divBdr>
        <w:top w:val="none" w:sz="0" w:space="0" w:color="auto"/>
        <w:left w:val="none" w:sz="0" w:space="0" w:color="auto"/>
        <w:bottom w:val="none" w:sz="0" w:space="0" w:color="auto"/>
        <w:right w:val="none" w:sz="0" w:space="0" w:color="auto"/>
      </w:divBdr>
    </w:div>
    <w:div w:id="184138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Word-Dokument1.docx"/><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Word-Dokument5.docx"/><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Word-Dokument3.docx"/><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Dokument.doc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Dokument2.docx"/><Relationship Id="rId23" Type="http://schemas.openxmlformats.org/officeDocument/2006/relationships/package" Target="embeddings/Microsoft_Word-Dokument6.docx"/><Relationship Id="rId10" Type="http://schemas.openxmlformats.org/officeDocument/2006/relationships/image" Target="media/image3.emf"/><Relationship Id="rId19" Type="http://schemas.openxmlformats.org/officeDocument/2006/relationships/package" Target="embeddings/Microsoft_Word-Dokument4.docx"/><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0CAA0A-2F30-4191-BE0B-DEE164841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1557</Words>
  <Characters>10141</Characters>
  <Application>Microsoft Office Word</Application>
  <DocSecurity>0</DocSecurity>
  <Lines>220</Lines>
  <Paragraphs>106</Paragraphs>
  <ScaleCrop>false</ScaleCrop>
  <HeadingPairs>
    <vt:vector size="2" baseType="variant">
      <vt:variant>
        <vt:lpstr>Titel</vt:lpstr>
      </vt:variant>
      <vt:variant>
        <vt:i4>1</vt:i4>
      </vt:variant>
    </vt:vector>
  </HeadingPairs>
  <TitlesOfParts>
    <vt:vector size="1" baseType="lpstr">
      <vt:lpstr/>
    </vt:vector>
  </TitlesOfParts>
  <Company>HWR Berlin</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Hafner, Simon</dc:creator>
  <cp:keywords/>
  <dc:description/>
  <cp:lastModifiedBy>Amirkhalily, Marjam</cp:lastModifiedBy>
  <cp:revision>13</cp:revision>
  <dcterms:created xsi:type="dcterms:W3CDTF">2022-07-15T09:33:00Z</dcterms:created>
  <dcterms:modified xsi:type="dcterms:W3CDTF">2024-09-26T06:39:00Z</dcterms:modified>
</cp:coreProperties>
</file>